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autoSpaceDN w:val="0"/>
        <w:autoSpaceDE w:val="0"/>
        <w:widowControl/>
        <w:spacing w:line="220" w:lineRule="exact" w:before="0" w:after="424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67369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67369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35" w:lineRule="auto" w:before="0" w:after="0"/>
        <w:ind w:left="0" w:right="0" w:firstLine="0"/>
        <w:jc w:val="center"/>
      </w:pPr>
      <w:r>
        <w:rPr>
          <w:rFonts w:ascii="Helvetica Neue" w:hAnsi="Helvetica Neue" w:eastAsia="Helvetica Neue"/>
          <w:b/>
          <w:i w:val="0"/>
          <w:color w:val="3F6544"/>
          <w:sz w:val="58"/>
        </w:rPr>
        <w:t>TRADING NATURE</w:t>
      </w:r>
    </w:p>
    <w:p>
      <w:pPr>
        <w:autoSpaceDN w:val="0"/>
        <w:autoSpaceDE w:val="0"/>
        <w:widowControl/>
        <w:spacing w:line="245" w:lineRule="auto" w:before="6592" w:after="0"/>
        <w:ind w:left="7488" w:right="20" w:firstLine="0"/>
        <w:jc w:val="right"/>
      </w:pPr>
      <w:r>
        <w:rPr>
          <w:rFonts w:ascii="Helvetica Neue" w:hAnsi="Helvetica Neue" w:eastAsia="Helvetica Neue"/>
          <w:b/>
          <w:i w:val="0"/>
          <w:color w:val="221F1F"/>
          <w:sz w:val="26"/>
        </w:rPr>
        <w:t xml:space="preserve">A report, with </w:t>
      </w:r>
      <w:r>
        <w:br/>
      </w:r>
      <w:r>
        <w:rPr>
          <w:rFonts w:ascii="Helvetica Neue" w:hAnsi="Helvetica Neue" w:eastAsia="Helvetica Neue"/>
          <w:b/>
          <w:i w:val="0"/>
          <w:color w:val="221F1F"/>
          <w:sz w:val="26"/>
        </w:rPr>
        <w:t xml:space="preserve">case studies, on </w:t>
      </w:r>
      <w:r>
        <w:br/>
      </w:r>
      <w:r>
        <w:rPr>
          <w:rFonts w:ascii="Helvetica Neue" w:hAnsi="Helvetica Neue" w:eastAsia="Helvetica Neue"/>
          <w:b/>
          <w:i w:val="0"/>
          <w:color w:val="221F1F"/>
          <w:sz w:val="26"/>
        </w:rPr>
        <w:t xml:space="preserve">the contribution </w:t>
      </w:r>
      <w:r>
        <w:br/>
      </w:r>
      <w:r>
        <w:rPr>
          <w:rFonts w:ascii="Helvetica Neue" w:hAnsi="Helvetica Neue" w:eastAsia="Helvetica Neue"/>
          <w:b/>
          <w:i w:val="0"/>
          <w:color w:val="221F1F"/>
          <w:sz w:val="26"/>
        </w:rPr>
        <w:t xml:space="preserve">of wildlife trade </w:t>
      </w:r>
      <w:r>
        <w:br/>
      </w:r>
      <w:r>
        <w:rPr>
          <w:rFonts w:ascii="Helvetica Neue" w:hAnsi="Helvetica Neue" w:eastAsia="Helvetica Neue"/>
          <w:b/>
          <w:i w:val="0"/>
          <w:color w:val="221F1F"/>
          <w:sz w:val="26"/>
        </w:rPr>
        <w:t xml:space="preserve">management </w:t>
      </w:r>
      <w:r>
        <w:br/>
      </w:r>
      <w:r>
        <w:rPr>
          <w:rFonts w:ascii="Helvetica Neue" w:hAnsi="Helvetica Neue" w:eastAsia="Helvetica Neue"/>
          <w:b/>
          <w:i w:val="0"/>
          <w:color w:val="221F1F"/>
          <w:sz w:val="26"/>
        </w:rPr>
        <w:t xml:space="preserve">to sustainable </w:t>
      </w:r>
      <w:r>
        <w:br/>
      </w:r>
      <w:r>
        <w:rPr>
          <w:rFonts w:ascii="Helvetica Neue" w:hAnsi="Helvetica Neue" w:eastAsia="Helvetica Neue"/>
          <w:b/>
          <w:i w:val="0"/>
          <w:color w:val="221F1F"/>
          <w:sz w:val="26"/>
        </w:rPr>
        <w:t xml:space="preserve">livelihoods and </w:t>
      </w:r>
      <w:r>
        <w:br/>
      </w:r>
      <w:r>
        <w:rPr>
          <w:rFonts w:ascii="Helvetica Neue" w:hAnsi="Helvetica Neue" w:eastAsia="Helvetica Neue"/>
          <w:b/>
          <w:i w:val="0"/>
          <w:color w:val="221F1F"/>
          <w:sz w:val="26"/>
        </w:rPr>
        <w:t xml:space="preserve">the Millennium </w:t>
      </w:r>
      <w:r>
        <w:br/>
      </w:r>
      <w:r>
        <w:rPr>
          <w:rFonts w:ascii="Helvetica Neue" w:hAnsi="Helvetica Neue" w:eastAsia="Helvetica Neue"/>
          <w:b/>
          <w:i w:val="0"/>
          <w:color w:val="221F1F"/>
          <w:sz w:val="26"/>
        </w:rPr>
        <w:t>Development Goals</w:t>
      </w:r>
    </w:p>
    <w:p>
      <w:pPr>
        <w:autoSpaceDN w:val="0"/>
        <w:autoSpaceDE w:val="0"/>
        <w:widowControl/>
        <w:spacing w:line="240" w:lineRule="auto" w:before="112" w:after="0"/>
        <w:ind w:left="0" w:right="78" w:firstLine="0"/>
        <w:jc w:val="right"/>
      </w:pPr>
      <w:r>
        <w:rPr>
          <w:rFonts w:ascii="Helvetica Neue" w:hAnsi="Helvetica Neue" w:eastAsia="Helvetica Neue"/>
          <w:b w:val="0"/>
          <w:i/>
          <w:color w:val="221F1F"/>
          <w:sz w:val="23"/>
        </w:rPr>
        <w:t>by Dilys Roe</w:t>
      </w:r>
    </w:p>
    <w:p>
      <w:pPr>
        <w:sectPr>
          <w:pgSz w:w="12028" w:h="16791"/>
          <w:pgMar w:top="1440" w:right="490" w:bottom="204" w:left="1440" w:header="720" w:footer="720" w:gutter="0"/>
          <w:cols w:space="720" w:num="1" w:equalWidth="0"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22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4188460</wp:posOffset>
            </wp:positionH>
            <wp:positionV relativeFrom="page">
              <wp:posOffset>9296400</wp:posOffset>
            </wp:positionV>
            <wp:extent cx="1082039" cy="1196608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82039" cy="119660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4203700</wp:posOffset>
            </wp:positionH>
            <wp:positionV relativeFrom="page">
              <wp:posOffset>9296400</wp:posOffset>
            </wp:positionV>
            <wp:extent cx="1066800" cy="96520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9652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70" w:lineRule="exact" w:before="0" w:after="0"/>
        <w:ind w:left="656" w:right="4176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Published by TRAFFIC International, Cambridge, UK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and WWF International, Gland, Switzerland.</w:t>
      </w:r>
    </w:p>
    <w:p>
      <w:pPr>
        <w:autoSpaceDN w:val="0"/>
        <w:autoSpaceDE w:val="0"/>
        <w:widowControl/>
        <w:spacing w:line="300" w:lineRule="exact" w:before="300" w:after="0"/>
        <w:ind w:left="656" w:right="4032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© 2008 TRAFFIC International and WWF International.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All rights reserved.</w:t>
      </w:r>
    </w:p>
    <w:p>
      <w:pPr>
        <w:autoSpaceDN w:val="0"/>
        <w:autoSpaceDE w:val="0"/>
        <w:widowControl/>
        <w:spacing w:line="300" w:lineRule="exact" w:before="300" w:after="0"/>
        <w:ind w:left="656" w:right="4032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All material appearing in this publication is copyrighted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and may be reproduced with perrmission.  Any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reproduction in full or in part of this publication must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credit TRAFFIC International and WWF International as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the copyright owners.</w:t>
      </w:r>
    </w:p>
    <w:p>
      <w:pPr>
        <w:autoSpaceDN w:val="0"/>
        <w:autoSpaceDE w:val="0"/>
        <w:widowControl/>
        <w:spacing w:line="300" w:lineRule="exact" w:before="300" w:after="0"/>
        <w:ind w:left="656" w:right="4032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The views of the author expressed in this publication do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not necessarily reflect those of the TRAFFIC network,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WWF or IUCN.</w:t>
      </w:r>
    </w:p>
    <w:p>
      <w:pPr>
        <w:autoSpaceDN w:val="0"/>
        <w:autoSpaceDE w:val="0"/>
        <w:widowControl/>
        <w:spacing w:line="300" w:lineRule="exact" w:before="300" w:after="0"/>
        <w:ind w:left="656" w:right="3888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The designations of geographical entities in this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publication, and the presentation of the material, do not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imply the expression of any opinion whatsoever on the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part of TRAFFIC or its supporting organizations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concerning the legal status of any country, territory, or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area, or of its authorities, or concerning the delimitation of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its frontiers or boundaries.</w:t>
      </w:r>
    </w:p>
    <w:p>
      <w:pPr>
        <w:autoSpaceDN w:val="0"/>
        <w:autoSpaceDE w:val="0"/>
        <w:widowControl/>
        <w:spacing w:line="300" w:lineRule="exact" w:before="300" w:after="0"/>
        <w:ind w:left="656" w:right="4176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The TRAFFIC symbol copyright and Registered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Trademark ownership is held by WWF. TRAFFIC is a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joint programme of WWF and IUCN. </w:t>
      </w:r>
    </w:p>
    <w:p>
      <w:pPr>
        <w:autoSpaceDN w:val="0"/>
        <w:autoSpaceDE w:val="0"/>
        <w:widowControl/>
        <w:spacing w:line="298" w:lineRule="exact" w:before="312" w:after="0"/>
        <w:ind w:left="656" w:right="4032" w:firstLine="0"/>
        <w:jc w:val="left"/>
      </w:pPr>
      <w:r>
        <w:rPr>
          <w:rFonts w:ascii="TimesNewRomanPS" w:hAnsi="TimesNewRomanPS" w:eastAsia="TimesNewRomanPS"/>
          <w:b/>
          <w:i w:val="0"/>
          <w:color w:val="221F1F"/>
          <w:sz w:val="18"/>
        </w:rPr>
        <w:t>Suggested citation</w:t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: Roe, D. (2008).  </w:t>
      </w:r>
      <w:r>
        <w:rPr>
          <w:rFonts w:ascii="TimesNewRomanPS" w:hAnsi="TimesNewRomanPS" w:eastAsia="TimesNewRomanPS"/>
          <w:b w:val="0"/>
          <w:i/>
          <w:color w:val="221F1F"/>
          <w:sz w:val="18"/>
        </w:rPr>
        <w:t xml:space="preserve">Trading Nature. </w:t>
      </w:r>
      <w:r>
        <w:br/>
      </w:r>
      <w:r>
        <w:rPr>
          <w:rFonts w:ascii="TimesNewRomanPS" w:hAnsi="TimesNewRomanPS" w:eastAsia="TimesNewRomanPS"/>
          <w:b w:val="0"/>
          <w:i/>
          <w:color w:val="221F1F"/>
          <w:sz w:val="18"/>
        </w:rPr>
        <w:t xml:space="preserve">A report, with case studies, on the contribution of wildlife </w:t>
      </w:r>
      <w:r>
        <w:br/>
      </w:r>
      <w:r>
        <w:rPr>
          <w:rFonts w:ascii="TimesNewRomanPS" w:hAnsi="TimesNewRomanPS" w:eastAsia="TimesNewRomanPS"/>
          <w:b w:val="0"/>
          <w:i/>
          <w:color w:val="221F1F"/>
          <w:sz w:val="18"/>
        </w:rPr>
        <w:t xml:space="preserve">trade management to sustainable livelihoods and the </w:t>
      </w:r>
      <w:r>
        <w:br/>
      </w:r>
      <w:r>
        <w:rPr>
          <w:rFonts w:ascii="TimesNewRomanPS" w:hAnsi="TimesNewRomanPS" w:eastAsia="TimesNewRomanPS"/>
          <w:b w:val="0"/>
          <w:i/>
          <w:color w:val="221F1F"/>
          <w:sz w:val="18"/>
        </w:rPr>
        <w:t>Millennium Development Goals</w:t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.  TRAFFIC International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and WWF International.</w:t>
      </w:r>
    </w:p>
    <w:p>
      <w:pPr>
        <w:autoSpaceDN w:val="0"/>
        <w:autoSpaceDE w:val="0"/>
        <w:widowControl/>
        <w:spacing w:line="276" w:lineRule="exact" w:before="316" w:after="0"/>
        <w:ind w:left="656" w:right="3888" w:firstLine="0"/>
        <w:jc w:val="left"/>
      </w:pPr>
      <w:r>
        <w:rPr>
          <w:rFonts w:ascii="TimesNewRomanPS" w:hAnsi="TimesNewRomanPS" w:eastAsia="TimesNewRomanPS"/>
          <w:b/>
          <w:i w:val="0"/>
          <w:color w:val="221F1F"/>
          <w:sz w:val="18"/>
        </w:rPr>
        <w:t>Case study authors</w:t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: Andrew Hurst (wild meat case study);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Helen J. Scales (coastal fisheries case study); and Sue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Wells (coastal fisheries and skins case studies).</w:t>
      </w:r>
    </w:p>
    <w:p>
      <w:pPr>
        <w:autoSpaceDN w:val="0"/>
        <w:autoSpaceDE w:val="0"/>
        <w:widowControl/>
        <w:spacing w:line="250" w:lineRule="exact" w:before="360" w:after="0"/>
        <w:ind w:left="656" w:right="0" w:firstLine="0"/>
        <w:jc w:val="left"/>
      </w:pPr>
      <w:r>
        <w:rPr>
          <w:rFonts w:ascii="TimesNewRomanPS" w:hAnsi="TimesNewRomanPS" w:eastAsia="TimesNewRomanPS"/>
          <w:b/>
          <w:i w:val="0"/>
          <w:color w:val="221F1F"/>
          <w:sz w:val="18"/>
        </w:rPr>
        <w:t>ISBN</w:t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 978 1 85850 237 3</w:t>
      </w:r>
    </w:p>
    <w:p>
      <w:pPr>
        <w:autoSpaceDN w:val="0"/>
        <w:autoSpaceDE w:val="0"/>
        <w:widowControl/>
        <w:spacing w:line="278" w:lineRule="exact" w:before="302" w:after="0"/>
        <w:ind w:left="656" w:right="3888" w:firstLine="0"/>
        <w:jc w:val="left"/>
      </w:pPr>
      <w:r>
        <w:rPr>
          <w:rFonts w:ascii="TimesNewRomanPS" w:hAnsi="TimesNewRomanPS" w:eastAsia="TimesNewRomanPS"/>
          <w:b/>
          <w:i w:val="0"/>
          <w:color w:val="221F1F"/>
          <w:sz w:val="18"/>
        </w:rPr>
        <w:t>Front cover photograph credits</w:t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: WWF-Canon: André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Bärtschi, Olivier van Bogaert, Alain Compost, James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Frankham, Diego M. Garces, Michel Gunther, Zeb Hogan,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Cat Holloway, R. Isotti-A. Cambone, Hartmut Jungius,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 xml:space="preserve">Elizabeth Kemf, Roger LeGuen, Frédéric Monnot,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Juan Pratginestos.</w:t>
      </w:r>
    </w:p>
    <w:p>
      <w:pPr>
        <w:autoSpaceDN w:val="0"/>
        <w:autoSpaceDE w:val="0"/>
        <w:widowControl/>
        <w:spacing w:line="300" w:lineRule="exact" w:before="480" w:after="0"/>
        <w:ind w:left="656" w:right="4176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Printed on FSC-certified paper and according to FSC-</w:t>
      </w:r>
      <w:r>
        <w:br/>
      </w: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certified processes.</w:t>
      </w:r>
    </w:p>
    <w:p>
      <w:pPr>
        <w:autoSpaceDN w:val="0"/>
        <w:autoSpaceDE w:val="0"/>
        <w:widowControl/>
        <w:spacing w:line="240" w:lineRule="exact" w:before="360" w:after="0"/>
        <w:ind w:left="656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221F1F"/>
          <w:sz w:val="18"/>
        </w:rPr>
        <w:t>TRAFFIC is a UK registered charity.</w:t>
      </w:r>
    </w:p>
    <w:p>
      <w:pPr>
        <w:sectPr>
          <w:pgSz w:w="11857" w:h="16791"/>
          <w:pgMar w:top="444" w:right="1440" w:bottom="332" w:left="1440" w:header="720" w:footer="720" w:gutter="0"/>
          <w:cols w:space="720" w:num="1" w:equalWidth="0"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133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2404110</wp:posOffset>
            </wp:positionH>
            <wp:positionV relativeFrom="page">
              <wp:posOffset>5184140</wp:posOffset>
            </wp:positionV>
            <wp:extent cx="4221480" cy="2988096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21480" cy="298809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2387600</wp:posOffset>
            </wp:positionH>
            <wp:positionV relativeFrom="page">
              <wp:posOffset>5168900</wp:posOffset>
            </wp:positionV>
            <wp:extent cx="4254500" cy="3009900"/>
            <wp:wrapNone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30099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0" w:lineRule="auto" w:before="0" w:after="0"/>
        <w:ind w:left="214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TRADING NATURE</w:t>
      </w:r>
    </w:p>
    <w:p>
      <w:pPr>
        <w:autoSpaceDN w:val="0"/>
        <w:autoSpaceDE w:val="0"/>
        <w:widowControl/>
        <w:spacing w:line="324" w:lineRule="auto" w:before="388" w:after="0"/>
        <w:ind w:left="2140" w:right="520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0"/>
        </w:rPr>
        <w:t xml:space="preserve">A REPORT, WITH CASE STUDIES, ON THE CONTRIBUTION </w:t>
      </w:r>
      <w:r>
        <w:rPr>
          <w:rFonts w:ascii="GillSansMT" w:hAnsi="GillSansMT" w:eastAsia="GillSansMT"/>
          <w:b/>
          <w:i w:val="0"/>
          <w:color w:val="000000"/>
          <w:sz w:val="20"/>
        </w:rPr>
        <w:t xml:space="preserve">OF WILDLIFE TRADE MANAGEMENT TO SUSTAINABLE </w:t>
      </w:r>
      <w:r>
        <w:rPr>
          <w:rFonts w:ascii="GillSansMT" w:hAnsi="GillSansMT" w:eastAsia="GillSansMT"/>
          <w:b/>
          <w:i w:val="0"/>
          <w:color w:val="000000"/>
          <w:sz w:val="20"/>
        </w:rPr>
        <w:t xml:space="preserve">LIVELIHOODS AND THE MILLENNIUM DEVELOPMENT </w:t>
      </w:r>
      <w:r>
        <w:rPr>
          <w:rFonts w:ascii="GillSansMT" w:hAnsi="GillSansMT" w:eastAsia="GillSansMT"/>
          <w:b/>
          <w:i w:val="0"/>
          <w:color w:val="000000"/>
          <w:sz w:val="20"/>
        </w:rPr>
        <w:t>GOALS</w:t>
      </w:r>
    </w:p>
    <w:p>
      <w:pPr>
        <w:autoSpaceDN w:val="0"/>
        <w:autoSpaceDE w:val="0"/>
        <w:widowControl/>
        <w:spacing w:line="294" w:lineRule="exact" w:before="642" w:after="0"/>
        <w:ind w:left="214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by Dilys Roe</w:t>
      </w:r>
    </w:p>
    <w:p>
      <w:pPr>
        <w:autoSpaceDN w:val="0"/>
        <w:tabs>
          <w:tab w:pos="2356" w:val="left"/>
        </w:tabs>
        <w:autoSpaceDE w:val="0"/>
        <w:widowControl/>
        <w:spacing w:line="340" w:lineRule="exact" w:before="6610" w:after="0"/>
        <w:ind w:left="2058" w:right="432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14"/>
        </w:rPr>
        <w:t>Credit</w:t>
      </w:r>
      <w:r>
        <w:rPr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: Tantyo Bangun/WWF-Canaon </w:t>
      </w:r>
      <w:r>
        <w:br/>
      </w:r>
      <w:r>
        <w:tab/>
      </w:r>
      <w:r>
        <w:rPr>
          <w:rFonts w:ascii="GillSansMT" w:hAnsi="GillSansMT" w:eastAsia="GillSansMT"/>
          <w:b/>
          <w:i w:val="0"/>
          <w:color w:val="A9A9A9"/>
          <w:sz w:val="20"/>
        </w:rPr>
        <w:t>A rattan harvester departs for work, East Kalimantan, Indonesia</w:t>
      </w:r>
    </w:p>
    <w:p>
      <w:pPr>
        <w:sectPr>
          <w:pgSz w:w="11713" w:h="16791"/>
          <w:pgMar w:top="1440" w:right="1440" w:bottom="1440" w:left="1440" w:header="720" w:footer="720" w:gutter="0"/>
          <w:cols w:space="720" w:num="1" w:equalWidth="0"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FOREWORD</w:t>
      </w:r>
    </w:p>
    <w:p>
      <w:pPr>
        <w:autoSpaceDN w:val="0"/>
        <w:autoSpaceDE w:val="0"/>
        <w:widowControl/>
        <w:spacing w:line="294" w:lineRule="exact" w:before="344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Dear readers,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It is with pleasure that WWF and TRAFFIC introduce this report, showing linkages between well-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managed, sustainable wildlife trade and the Millennium Development Goals.  This report is the second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 a series demonstrating how species conservation contributes to sustainable development.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worldwide value of wildlife trade has been estimated at USD300 billion.  This excludes the consid-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erable amount of domestic trade that takes place—especially in biodiversity-rich countries—as well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value of wildlife that is harvested for direct consumption.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on this scale presents us with opportunities but also with considerable challenges and risks.  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one hand, wildlife provides much of the food (especially protein) and medicinal products that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available to poor communities that live in areas of high biodiversity.  The trade in wildlife and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products, both domestic and international, also generates cash income and employment in biodiversity-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rich countries and can represent an important contribution to their GDP.  When this trade is legal,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sustainable and effectively managed it can provide benefits for local communities—and when it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poorly managed and largely illegal, the benefits to local communities are lost.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By contributing to food security, by providing accessible health remedies and by creating valuable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partnerships with importing countries, sustainable wildlife trade can be central to achievement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many of the Millennium Development Goals.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 the other hand, the fact remains that, while some communities and countries have been extremely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successful in managing and regulating the use of their wildlife resources, a huge proportion of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is manifestly unsustainable and often illegal.  Wholesale “plundering” of natural resources will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both deplete wildlife populations and deprive poor communities of essential natural resources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long term, as well as lead to environmental degradation.  Therefore, while sustainable wildlife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can be positive for the delivery of the Millennium Development Goals, when it is at unsustainable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levels or largely illegal, it represents a significant threat to their achievement.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report addresses how societies can reconcile these contradictions and minimize the risks posed by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trade.  Critical factors include the establishment of appropriate ownership and tenure regimes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wildlife, the development of means to enhance wild production and the use of certification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processes to identify wildlife goods that are derived sustainably.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WWF’s mission is to stop the degradation of the planet’s natural environment and to build a future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which humans live in harmony with nature by: conserving the world’s biological diversity; ensuring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that the use of renewable natural resources is sustainable; and reducing pollution and wasteful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consumption.  An approach to the global wildlife trade that is integrated with human needs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fundamental to the fulfilment of this mission.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1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ii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4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challenge for governments, scientists, industry, nongovernmental organizations and communities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to embrace both the challenges and the opportunities of species conservation and to deliver integrated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conservation and development outcomes.  We hope this report will help decision-makers, conserva-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tionists, development experts, politicians, funders and interested individuals embrace this challenge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the perspective of wildlife trade. </w:t>
      </w:r>
    </w:p>
    <w:p>
      <w:pPr>
        <w:autoSpaceDN w:val="0"/>
        <w:autoSpaceDE w:val="0"/>
        <w:widowControl/>
        <w:spacing w:line="320" w:lineRule="exact" w:before="640" w:after="0"/>
        <w:ind w:left="0" w:right="4608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Dr Susan Lieberman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Director, WWF International, Species Programme</w:t>
      </w:r>
    </w:p>
    <w:p>
      <w:pPr>
        <w:autoSpaceDN w:val="0"/>
        <w:tabs>
          <w:tab w:pos="8798" w:val="left"/>
        </w:tabs>
        <w:autoSpaceDE w:val="0"/>
        <w:widowControl/>
        <w:spacing w:line="242" w:lineRule="auto" w:before="118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iii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ACKNOWLEDGEMENTS</w:t>
      </w:r>
    </w:p>
    <w:p>
      <w:pPr>
        <w:autoSpaceDN w:val="0"/>
        <w:autoSpaceDE w:val="0"/>
        <w:widowControl/>
        <w:spacing w:line="320" w:lineRule="exact" w:before="31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Special thanks are due to WWF International, and particularly to Amanda Nickson, Transition Deputy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Director, WWF Global Species Programme, for the valuable support for the preparation of this report,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to the Swedish International Development Cooperation Agency (Sida) for providing the funding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support that made this work possible.  The Rufford Maurice Laing Foundation is gratefully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acknowledged for its support of the final stages of production of this report.</w:t>
      </w:r>
    </w:p>
    <w:p>
      <w:pPr>
        <w:autoSpaceDN w:val="0"/>
        <w:autoSpaceDE w:val="0"/>
        <w:widowControl/>
        <w:spacing w:line="320" w:lineRule="exact" w:before="32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following are thanked for their preparation of the case studies contained within this report: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Andrew Hurst (case study on wild meat trade in Africa), Helen J. Scales (case study on trade in coastal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fisheries products from Asia) and Sue Wells (case studies on the trade in coastal fisheries products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Asia and skins from South America).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reviewing a draft of this report, or sections of it, and for their helpful comments thanks are due to: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Tim Christophersen, Environmental Affairs Officer for Forest Biodiversity, CBD Secretariat; Amanda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Nickson, Transition Deputy Director, WWF Global Species Programme; Thomasina Oldfield, Acting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Co-ordinator, Species Trade and Use Unit, IUCN Species Programme; Alvaro Velasco, Regional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Chairman, Latin America and the Caribbean, Crocodile Specialist Group of IUCN; Heather Koldewey,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Zoological Institute of London, Associate Director of Project Seahorse; Gayatri Lilley, Marine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Aquarium Council, Indonesia; Genee Mislang, Marine Aquarium Council, Indonesia; Gregor Hodgson,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ReefCheck; Richard Ambrose, University of California; Yvonne Sadovy, Division of Ecology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Biodiversity, School of Biological Science, University of Hong Kong; Steven Broad, Executive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Director, TRAFFIC; Simon Milledge, Deputy Director, TRAFFIC East/Southern Africa; Sabri Zain,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Advocacy and Campaigns Director, TRAFFIC and James Compton, Asia-Pacific Programme Co-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ordinator, TRAFFIC.</w:t>
      </w:r>
    </w:p>
    <w:p>
      <w:pPr>
        <w:autoSpaceDN w:val="0"/>
        <w:autoSpaceDE w:val="0"/>
        <w:widowControl/>
        <w:spacing w:line="320" w:lineRule="exact" w:before="32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Finally, thanks to Julie Gray, Reports Editor, TRAFFIC, for her editorial support and preparation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final report for publication and to Teresa Mulliken, Co-ordinator, Programme Development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Evaluation, TRAFFIC, for her support during the writing of this report.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537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iv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CONTENTS</w:t>
      </w:r>
    </w:p>
    <w:p>
      <w:pPr>
        <w:autoSpaceDN w:val="0"/>
        <w:tabs>
          <w:tab w:pos="8664" w:val="left"/>
        </w:tabs>
        <w:autoSpaceDE w:val="0"/>
        <w:widowControl/>
        <w:spacing w:line="306" w:lineRule="exact" w:before="342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Executive summary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vii</w:t>
      </w:r>
    </w:p>
    <w:p>
      <w:pPr>
        <w:autoSpaceDN w:val="0"/>
        <w:tabs>
          <w:tab w:pos="8786" w:val="left"/>
        </w:tabs>
        <w:autoSpaceDE w:val="0"/>
        <w:widowControl/>
        <w:spacing w:line="306" w:lineRule="exact" w:before="332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Introduction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</w:t>
      </w:r>
    </w:p>
    <w:p>
      <w:pPr>
        <w:autoSpaceDN w:val="0"/>
        <w:tabs>
          <w:tab w:pos="8786" w:val="left"/>
        </w:tabs>
        <w:autoSpaceDE w:val="0"/>
        <w:widowControl/>
        <w:spacing w:line="306" w:lineRule="exact" w:before="332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Methodology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</w:t>
      </w:r>
    </w:p>
    <w:p>
      <w:pPr>
        <w:autoSpaceDN w:val="0"/>
        <w:tabs>
          <w:tab w:pos="8786" w:val="left"/>
        </w:tabs>
        <w:autoSpaceDE w:val="0"/>
        <w:widowControl/>
        <w:spacing w:line="306" w:lineRule="exact" w:before="332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Background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</w:t>
      </w:r>
    </w:p>
    <w:p>
      <w:pPr>
        <w:autoSpaceDN w:val="0"/>
        <w:tabs>
          <w:tab w:pos="8676" w:val="left"/>
        </w:tabs>
        <w:autoSpaceDE w:val="0"/>
        <w:widowControl/>
        <w:spacing w:line="306" w:lineRule="exact" w:before="332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Analysis: contributions of wildlife trade to the MDGs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16</w:t>
      </w:r>
    </w:p>
    <w:p>
      <w:pPr>
        <w:autoSpaceDN w:val="0"/>
        <w:tabs>
          <w:tab w:pos="8676" w:val="left"/>
        </w:tabs>
        <w:autoSpaceDE w:val="0"/>
        <w:widowControl/>
        <w:spacing w:line="306" w:lineRule="exact" w:before="332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Discussion: challenges to wildlife trade as a development tool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27</w:t>
      </w:r>
    </w:p>
    <w:p>
      <w:pPr>
        <w:autoSpaceDN w:val="0"/>
        <w:tabs>
          <w:tab w:pos="8676" w:val="left"/>
        </w:tabs>
        <w:autoSpaceDE w:val="0"/>
        <w:widowControl/>
        <w:spacing w:line="306" w:lineRule="exact" w:before="332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323232"/>
          <w:sz w:val="22"/>
        </w:rPr>
        <w:t xml:space="preserve">Conclusions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>33</w:t>
      </w:r>
    </w:p>
    <w:p>
      <w:pPr>
        <w:autoSpaceDN w:val="0"/>
        <w:autoSpaceDE w:val="0"/>
        <w:widowControl/>
        <w:spacing w:line="304" w:lineRule="exact" w:before="336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C</w:t>
      </w:r>
      <w:r>
        <w:rPr>
          <w:w w:val="103.125"/>
          <w:rFonts w:ascii="TimesNewRomanPS" w:hAnsi="TimesNewRomanPS" w:eastAsia="TimesNewRomanPS"/>
          <w:b/>
          <w:i w:val="0"/>
          <w:color w:val="000000"/>
          <w:sz w:val="16"/>
        </w:rPr>
        <w:t>ASE STUDIES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—W</w:t>
      </w:r>
      <w:r>
        <w:rPr>
          <w:w w:val="103.125"/>
          <w:rFonts w:ascii="TimesNewRomanPS" w:hAnsi="TimesNewRomanPS" w:eastAsia="TimesNewRomanPS"/>
          <w:b/>
          <w:i w:val="0"/>
          <w:color w:val="000000"/>
          <w:sz w:val="16"/>
        </w:rPr>
        <w:t>ILDLIFE TRADE MANAGEMENT IN PRACTICE</w:t>
      </w:r>
    </w:p>
    <w:p>
      <w:pPr>
        <w:autoSpaceDN w:val="0"/>
        <w:tabs>
          <w:tab w:pos="720" w:val="left"/>
          <w:tab w:pos="8690" w:val="left"/>
          <w:tab w:pos="8692" w:val="left"/>
        </w:tabs>
        <w:autoSpaceDE w:val="0"/>
        <w:widowControl/>
        <w:spacing w:line="318" w:lineRule="exact" w:before="320" w:after="0"/>
        <w:ind w:left="346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Case study 1: The trade in wild meat in East and Southern Africa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36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nature and scale of the wild meat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36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of the wild meat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41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Impacts of trade management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45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Conclusions and recommendations—enhancing the contribution of the wild meat trade to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46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achieving the MDGs </w:t>
      </w:r>
    </w:p>
    <w:p>
      <w:pPr>
        <w:autoSpaceDN w:val="0"/>
        <w:tabs>
          <w:tab w:pos="720" w:val="left"/>
          <w:tab w:pos="8690" w:val="left"/>
          <w:tab w:pos="8692" w:val="left"/>
        </w:tabs>
        <w:autoSpaceDE w:val="0"/>
        <w:widowControl/>
        <w:spacing w:line="314" w:lineRule="exact" w:before="336" w:after="0"/>
        <w:ind w:left="346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Case study 2: The Latin American trade in wildlife skins and wool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50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nature and scale of the Latin American skin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50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of the skin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51</w:t>
      </w:r>
    </w:p>
    <w:p>
      <w:pPr>
        <w:autoSpaceDN w:val="0"/>
        <w:tabs>
          <w:tab w:pos="8690" w:val="left"/>
        </w:tabs>
        <w:autoSpaceDE w:val="0"/>
        <w:widowControl/>
        <w:spacing w:line="294" w:lineRule="exact" w:before="0" w:after="0"/>
        <w:ind w:left="1066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Peccaries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51</w:t>
      </w:r>
    </w:p>
    <w:p>
      <w:pPr>
        <w:autoSpaceDN w:val="0"/>
        <w:tabs>
          <w:tab w:pos="8690" w:val="left"/>
        </w:tabs>
        <w:autoSpaceDE w:val="0"/>
        <w:widowControl/>
        <w:spacing w:line="294" w:lineRule="exact" w:before="0" w:after="0"/>
        <w:ind w:left="1066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Caimans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54</w:t>
      </w:r>
    </w:p>
    <w:p>
      <w:pPr>
        <w:autoSpaceDN w:val="0"/>
        <w:tabs>
          <w:tab w:pos="1066" w:val="left"/>
          <w:tab w:pos="8690" w:val="left"/>
        </w:tabs>
        <w:autoSpaceDE w:val="0"/>
        <w:widowControl/>
        <w:spacing w:line="320" w:lineRule="exact" w:before="0" w:after="0"/>
        <w:ind w:left="720" w:right="0" w:firstLine="0"/>
        <w:jc w:val="left"/>
      </w:pP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Vicuña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55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Impacts of trade management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57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Conclusions—the contribution of the skin trade to achieving the MDGs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59</w:t>
      </w:r>
    </w:p>
    <w:p>
      <w:pPr>
        <w:autoSpaceDN w:val="0"/>
        <w:tabs>
          <w:tab w:pos="720" w:val="left"/>
          <w:tab w:pos="8690" w:val="left"/>
          <w:tab w:pos="8692" w:val="left"/>
        </w:tabs>
        <w:autoSpaceDE w:val="0"/>
        <w:widowControl/>
        <w:spacing w:line="316" w:lineRule="exact" w:before="336" w:after="0"/>
        <w:ind w:left="346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Case study 3: Trade in Asian coastal fisheries products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61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Introduction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61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Ornamental fish and invertebrates for the marine aquarium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62</w:t>
      </w:r>
    </w:p>
    <w:p>
      <w:pPr>
        <w:autoSpaceDN w:val="0"/>
        <w:tabs>
          <w:tab w:pos="8690" w:val="left"/>
        </w:tabs>
        <w:autoSpaceDE w:val="0"/>
        <w:widowControl/>
        <w:spacing w:line="294" w:lineRule="exact" w:before="0" w:after="0"/>
        <w:ind w:left="108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Nature and scale of the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62</w:t>
      </w:r>
    </w:p>
    <w:p>
      <w:pPr>
        <w:autoSpaceDN w:val="0"/>
        <w:tabs>
          <w:tab w:pos="8690" w:val="left"/>
        </w:tabs>
        <w:autoSpaceDE w:val="0"/>
        <w:widowControl/>
        <w:spacing w:line="294" w:lineRule="exact" w:before="0" w:after="0"/>
        <w:ind w:left="108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Management of the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64</w:t>
      </w:r>
    </w:p>
    <w:p>
      <w:pPr>
        <w:autoSpaceDN w:val="0"/>
        <w:tabs>
          <w:tab w:pos="8690" w:val="left"/>
        </w:tabs>
        <w:autoSpaceDE w:val="0"/>
        <w:widowControl/>
        <w:spacing w:line="294" w:lineRule="exact" w:before="0" w:after="0"/>
        <w:ind w:left="108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Impacts of trade management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66</w:t>
      </w:r>
    </w:p>
    <w:p>
      <w:pPr>
        <w:autoSpaceDN w:val="0"/>
        <w:tabs>
          <w:tab w:pos="8832" w:val="left"/>
        </w:tabs>
        <w:autoSpaceDE w:val="0"/>
        <w:widowControl/>
        <w:spacing w:line="242" w:lineRule="auto" w:before="185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v</w:t>
      </w:r>
    </w:p>
    <w:p>
      <w:pPr>
        <w:sectPr>
          <w:pgSz w:w="11713" w:h="16791"/>
          <w:pgMar w:top="684" w:right="1364" w:bottom="290" w:left="1416" w:header="720" w:footer="720" w:gutter="0"/>
          <w:cols w:space="720" w:num="1" w:equalWidth="0"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1080" w:val="left"/>
          <w:tab w:pos="8690" w:val="left"/>
          <w:tab w:pos="8692" w:val="left"/>
        </w:tabs>
        <w:autoSpaceDE w:val="0"/>
        <w:widowControl/>
        <w:spacing w:line="316" w:lineRule="exact" w:before="0" w:after="0"/>
        <w:ind w:left="72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67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Nature and scale of the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67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Management of the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69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Impacts of trade management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69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Humphead Wrasse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70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Nature and scale of the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70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Management of the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71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Impacts of trade management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73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Conclusions—can the Asian coastal fisheries trade contribute to achieving the MDGs?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73</w:t>
      </w:r>
    </w:p>
    <w:p>
      <w:pPr>
        <w:autoSpaceDN w:val="0"/>
        <w:tabs>
          <w:tab w:pos="8706" w:val="left"/>
        </w:tabs>
        <w:autoSpaceDE w:val="0"/>
        <w:widowControl/>
        <w:spacing w:line="306" w:lineRule="exact" w:before="346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References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75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1166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vi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350" w:bottom="290" w:left="1416" w:header="720" w:footer="720" w:gutter="0"/>
          <w:cols w:space="720" w:num="1" w:equalWidth="0"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EXECUTIVE SUMMARY </w:t>
      </w:r>
    </w:p>
    <w:p>
      <w:pPr>
        <w:autoSpaceDN w:val="0"/>
        <w:autoSpaceDE w:val="0"/>
        <w:widowControl/>
        <w:spacing w:line="240" w:lineRule="auto" w:before="276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Introduction</w:t>
      </w:r>
    </w:p>
    <w:p>
      <w:pPr>
        <w:autoSpaceDN w:val="0"/>
        <w:autoSpaceDE w:val="0"/>
        <w:widowControl/>
        <w:spacing w:line="320" w:lineRule="exact" w:before="29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is growing awareness of the social significance of wild resources, the Millennium Ecosystem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Assessment (MA) making a clear link between biodiversity, ecosystem services and human well-being.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remains, however, much ignorance concerning the role that trade in wild products plays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supporting the livelihoods of poor people and the potential of this trade to contribute to the achievement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the Millennium Development Goals (MDGs).  Despite growing acceptance of the importance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biodiversity goods and services to human well-being, there is still little recognition of the direct contri-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bution of products derived from wild sources to human livelihoods—particularly the livelihoods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rural poor.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report looks at the importance of effective management of trade in wild species in order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maximize its potential to deliver on the MDGs.  It also presents the findings of three case studies: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 meat trade in East and Southern Africa; the skin and wool trade in Latin America; and, the high-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value fisheries trade in South Asia.  A review of the wider literature on trade in wild resources further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contributed to exploration of the current and potential contribution of sustainable wildlife trade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achieving the MDGs.</w:t>
      </w:r>
    </w:p>
    <w:p>
      <w:pPr>
        <w:autoSpaceDN w:val="0"/>
        <w:autoSpaceDE w:val="0"/>
        <w:widowControl/>
        <w:spacing w:line="240" w:lineRule="auto" w:before="27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The nature and scale of wildlife trade</w:t>
      </w:r>
    </w:p>
    <w:p>
      <w:pPr>
        <w:autoSpaceDN w:val="0"/>
        <w:autoSpaceDE w:val="0"/>
        <w:widowControl/>
        <w:spacing w:line="320" w:lineRule="exact" w:before="29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trade, in simple terms, is any sale or exchange by people of wild animal and plant resources.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species are traded in many forms in order to produce a wide variety of products including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medicines, food, ornaments, furniture, pets, building supplies and so on.  Quantifying the value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 is not easy—the use and trade of wild species is multi-faceted and encompasses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dimensions and scales.  Nevertheless, it is clear that wildlife trade is a major economic activity.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TRAFFIC</w:t>
      </w:r>
      <w:r>
        <w:rPr>
          <w:rFonts w:ascii="TimesNewRomanPSMT" w:hAnsi="TimesNewRomanPSMT" w:eastAsia="TimesNewRomanPSMT"/>
          <w:b w:val="0"/>
          <w:i w:val="0"/>
          <w:color w:val="424242"/>
          <w:sz w:val="22"/>
        </w:rPr>
        <w:t xml:space="preserve"> has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estimated the value of legal,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international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 alone to be worth nearly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USD300 billion in 2005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based on declared import values.  A discernible trend also seems to be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steady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increase in value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Reported trade in wildlife commodities (not including timber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commercial fisheries) has increased from “at least” five billion US dollars per annum in the 1980s,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over USD15 billion in the early 1990s, to over USD21 billion by 2005.  These figures also do not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reflect the huge amount of domestic trade that takes place, much of this trade providing valuable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benefits and services to local communities and national economies in the form of livelihoods,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employment, health care and food security.</w:t>
      </w:r>
    </w:p>
    <w:p>
      <w:pPr>
        <w:autoSpaceDN w:val="0"/>
        <w:autoSpaceDE w:val="0"/>
        <w:widowControl/>
        <w:spacing w:line="240" w:lineRule="auto" w:before="29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The importance of managing wildlife trade</w:t>
      </w:r>
    </w:p>
    <w:p>
      <w:pPr>
        <w:autoSpaceDN w:val="0"/>
        <w:autoSpaceDE w:val="0"/>
        <w:widowControl/>
        <w:spacing w:line="320" w:lineRule="exact" w:before="298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consideration of the potential of the wildlife trade is relevant to discussions concerning the delivery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the MDGs for two main reasons: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 is big business and a significant portion of this value is captured by poor countries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by poor people.</w:t>
      </w:r>
    </w:p>
    <w:p>
      <w:pPr>
        <w:autoSpaceDN w:val="0"/>
        <w:tabs>
          <w:tab w:pos="8764" w:val="left"/>
        </w:tabs>
        <w:autoSpaceDE w:val="0"/>
        <w:widowControl/>
        <w:spacing w:line="242" w:lineRule="auto" w:before="105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vii</w:t>
      </w:r>
    </w:p>
    <w:p>
      <w:pPr>
        <w:sectPr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1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Much harvesting and trade of wild products is poorly managed and, as such, unsustainable wildlife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can be one source of the extensive biodiversity loss and ecosystem degradation that has been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highlighted by the MA and noted as an obstacle to the achievement of the MDGs.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It is thus essential that wildlife trade is well managed and sustainable in order to maximize its contri-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bution to the MDGs—where this potential exists—and, at very least, so as not to undermine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subsistence base on which the livelihoods of so many of the poor depend.  Wildlife trade is managed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through a variety of measures—regulatory and voluntary, formal and informal, direct and indirect—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at a variety of levels from global to local.</w:t>
      </w:r>
    </w:p>
    <w:p>
      <w:pPr>
        <w:autoSpaceDN w:val="0"/>
        <w:autoSpaceDE w:val="0"/>
        <w:widowControl/>
        <w:spacing w:line="240" w:lineRule="auto" w:before="27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Contributions of wildlife trade to the MDGs</w:t>
      </w:r>
    </w:p>
    <w:p>
      <w:pPr>
        <w:autoSpaceDN w:val="0"/>
        <w:autoSpaceDE w:val="0"/>
        <w:widowControl/>
        <w:spacing w:line="320" w:lineRule="exact" w:before="29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most obvious contribution of wildlife trade to the MDGs is to the poverty reduction target of Goal 1.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Sustainable wildlife trade can make a significant—if under-recognized—contribution to the economies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cash-poor but biodiversity-rich countries.  For example, Uganda’s lake fisheries produce fish worth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over USD200 million a year; employ 135 000 fishers and 700 000 small-scale operators in processing,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and associated industries; generate USD87.5 million in export earnings; and contribute 2.2%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Gross Domestic Product (GDP).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Within poor countries, huge numbers of people have some involvement in wildlife trade—estimates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number of people dependent on wild resources for at least part of their income range from 200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million worldwide to one billion just in Asia and the Pacific (van Rijsoort, 2000).  There is growing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recognition that sustainable, long-term poverty reduction is dependent upon a secure natural resource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base.  Despite its lack of recognition in national-level accounting, for some individuals, households 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communities, wild resources can be a significant source of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cash income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particularly in marginal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agricultural areas or where there are few other livelihood opportunities: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Analysis of the wild meat trade reveals estimates of contributions of up to 34% of household income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East and Southern Africa.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Palawan and the central Philippines, seahorse fishers and traders reported that seahorses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contributed approximately 30–40% to their annual income.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While the caiman skin trade generates a low income for ranchers compared to cattle, it can be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significant for the poor and landless with few other income-generating opportunities.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amount and relative significance of income from wildlife to rural households varies hugely and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 depends on the degree to which households are incorporated into a cash economy.  For primarily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subsistence households the total amount of income generated by selling wild resources is generally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very low—but it may be the main, or only, source of cash.  Overall, the World Bank estimates that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forest products provide roughly 20% of poor rural families’ “income”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—of which half is cash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half is in the form of subsistence goods.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9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viii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0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Beyond cash income, case studies of the wild meat trade in Southern Africa, skin and wool trade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Latin America and high-value fisheries trade South Asia—as well as the wider literature—highlight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contributions across a wide range of the MDGs but particularly: </w:t>
      </w:r>
    </w:p>
    <w:p>
      <w:pPr>
        <w:autoSpaceDN w:val="0"/>
        <w:tabs>
          <w:tab w:pos="288" w:val="left"/>
        </w:tabs>
        <w:autoSpaceDE w:val="0"/>
        <w:widowControl/>
        <w:spacing w:line="318" w:lineRule="exact" w:before="334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•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Hunger (MDG 1)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: Sustainable wildlife trade can help enhance food security both directly—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providing consumers with a valuable, affordable source of protein—and indirectly—by increasing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amount of cash in the household that is available to spend on food.  The importance of fisheries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food security highlights the importance of a well-managed trade, however. Unsustainable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harvests can come at a substantial cost to the natural reef resources on which local communities rely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food and coastal protection.  Conversely, if well managed, the trade in flagship species such as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seahorses, Humphead Wrasse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Cheilinus undulatus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and certain ornamental fish, not only promotes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own conservation but can also have beneficial knock-on effects on the conservation status of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 broader range of species that are important as local food sources.</w:t>
      </w:r>
    </w:p>
    <w:p>
      <w:pPr>
        <w:autoSpaceDN w:val="0"/>
        <w:tabs>
          <w:tab w:pos="288" w:val="left"/>
        </w:tabs>
        <w:autoSpaceDE w:val="0"/>
        <w:widowControl/>
        <w:spacing w:line="318" w:lineRule="exact" w:before="14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•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Health (MDGs 4, 5, 6)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: Sustainable wildlife trade can make a major contribution to primary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healthcare.  An enhanced protein supply (e.g from access to fisheries or wild meat products) is 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itself, hugely beneficial for human health, but beyond that the trade in wildlife-based medicines (of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plant and animal origin) is a major component of the wildlife trade and benefits millions of poor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people.  The World Health Organization (WHO) estimates, for example, that up to 80% of the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African population uses traditional medicine for primary health care (WHO, 2003).  Unregulated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 can, however, have unexpected negative implications for human health.  The meat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trade, for example, can not only result in exposure to HIV-related viruses but, where it threatens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primates with extinction, can also affect research into treatments. </w:t>
      </w:r>
    </w:p>
    <w:p>
      <w:pPr>
        <w:autoSpaceDN w:val="0"/>
        <w:tabs>
          <w:tab w:pos="288" w:val="left"/>
        </w:tabs>
        <w:autoSpaceDE w:val="0"/>
        <w:widowControl/>
        <w:spacing w:line="316" w:lineRule="exact" w:before="16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•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Global partnership for development (MDG 8)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: As a global industry, wildlife trade is well placed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contribute to the development of “an open, rule-based, predictable, non-discriminatory trading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financial system” (Target 12).  In fact some would argue that the Convention on International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in Endangered Species of Wild Fauna and Flora (CITES) is just that.  Certainly with its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increasing focus on livelihoods as well as conservation concerns, CITES is moving in this direction.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commitment to good governance that is central to Goal 8—and indeed critical to achieving all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MDGs—is also central to sustainable management of the wildlife trade.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Unregulated wildlife trade, however, threatens to undermine the achievement of Goal 7—to “ensure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environmental sustainability”—and hence hinder progress towards the other goals, as well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undermining the whole system under which developing countries attempt to find the balance between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meeting both conservation and development goals.  To date, much trade in wildlife has not been well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managed and as a result, ecological degradation has occurred.  Unless well managed, wildlife trade can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cause direct harm through over-exploitation of targeted species, to the point where the survival of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hangs in the balance.  The MA highlights that overall, up to 30% of mammal, bird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amphibian species are threatened with extinction.  Additional detail provided by IUCN, shows that one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four mammals, one in eight birds, and one third of all amphibians are threatened, as are over 8000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of plants, fungi and algae.  Over-exploitation is identified as one of the main threats to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on the Red List, affecting approximately one third of threatened mammal and bird species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also having a heavy impact on marine species (IUCN, 2007a).</w:t>
      </w:r>
    </w:p>
    <w:p>
      <w:pPr>
        <w:autoSpaceDN w:val="0"/>
        <w:tabs>
          <w:tab w:pos="8788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ix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4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Unsustainable wildlife trade can also cause problems beyond the target species, as over-exploitation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one species disrupts ecosystem structure and functions and, potentially, the delivery of essential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ecosystem services. Over-fishing, for example, not only affects individual species but can also have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serious repercussions for the wider marine ecosystem, e.g. through disruption of predator-prey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relationships. </w:t>
      </w:r>
    </w:p>
    <w:p>
      <w:pPr>
        <w:autoSpaceDN w:val="0"/>
        <w:autoSpaceDE w:val="0"/>
        <w:widowControl/>
        <w:spacing w:line="240" w:lineRule="auto" w:before="27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Key challenges to wildlife trade as a development tool</w:t>
      </w:r>
    </w:p>
    <w:p>
      <w:pPr>
        <w:autoSpaceDN w:val="0"/>
        <w:autoSpaceDE w:val="0"/>
        <w:widowControl/>
        <w:spacing w:line="320" w:lineRule="exact" w:before="29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Even when well managed, wildlife trade is not a panacea for sustainable livelihoods and poverty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reduction.  In recent years, a considerable amount of research has documented the limited scope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increased commercialization of many wild resources.  </w:t>
      </w: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 xml:space="preserve">Nevertheless, it is possible to identify a number </w:t>
      </w: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 xml:space="preserve">of key challenges that could, if overcome, really make a difference to realizing the potential of </w:t>
      </w: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 xml:space="preserve">sustainable wildlife trade to contribute to the MDGs. </w:t>
      </w:r>
    </w:p>
    <w:p>
      <w:pPr>
        <w:autoSpaceDN w:val="0"/>
        <w:autoSpaceDE w:val="0"/>
        <w:widowControl/>
        <w:spacing w:line="318" w:lineRule="exact" w:before="33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central importance is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security of tenure over land and resource rights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For many, most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largely an “open access” resource, with few if any controls in place or, if they are, enforced, with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regard to harvest.  This has its advantages in that the potential benefits of trade are accessible to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poor.  The disadvantage of open access resources, however, is the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inability to exclude outsiders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harvest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is little doubt that many “outsiders” are also poor people in desperate search of a living.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reality, however, is that without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secure ownership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or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exclusive access rights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there is little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incentive for local people to invest in the long term sustainability of the wildlife resource—far better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to exploit it while it is there and before others do the same.  This not only has implications for trade-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related incomes in the areas where stocks are depleted, but also for meeting the ongoing needs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subsistence users.</w:t>
      </w:r>
    </w:p>
    <w:p>
      <w:pPr>
        <w:autoSpaceDN w:val="0"/>
        <w:autoSpaceDE w:val="0"/>
        <w:widowControl/>
        <w:spacing w:line="318" w:lineRule="exact" w:before="336" w:after="0"/>
        <w:ind w:left="0" w:right="20" w:firstLine="0"/>
        <w:jc w:val="both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Captive, or semi-intensive, production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has been highlighted as one possible mechanism for reducing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pressure on wild resources, while maintaining a regular source of supply for the trade.  While this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may help secure more regular income, its potential for broad-based poverty reduction efforts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constrained by the relatively limited number of beneficiaries.  While low barriers to entry are noted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major advantage to harvesting of wild resources, involvement in captive production can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constrained by the requirement for capital investment—often beyond the reach of many poor people.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Difficulties with establishing successful production in non-wild habitats and the potential for such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ex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situ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production facilities to be used as a cover for illegal trade in wild specimens have also been noted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constraints to this approach. </w:t>
      </w:r>
    </w:p>
    <w:p>
      <w:pPr>
        <w:autoSpaceDN w:val="0"/>
        <w:autoSpaceDE w:val="0"/>
        <w:widowControl/>
        <w:spacing w:line="318" w:lineRule="exact" w:before="33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Introducing some kind of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standard, certification and accompanying labelling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scheme is attracting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increasing attention as a mechanism that helps to promote sustainable management while at the same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time generating better returns for poor producers.  What is not clear from these various schemes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whether certification does indeed generate higher prices—the fisheries case study notes that there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currently little evidence of real increases in prices of aquarium fish as a result of Marine Aquarium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Council certification for example.  For many, the costs of certification itself may be prohibitive—the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peccary pelt certification scheme discussed in the case study on the South America skin trade highlights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3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x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need for significant donor investment—at least in the initial stages.  Recognizing these limitations,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however, efforts are being made to enhance the pro-poor potential of certification.  Even if certification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has little impact on the prices captured by primary producers, it is hoped that it may help to promote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more sustainable, better-managed trade with associated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ecological benefits.</w:t>
      </w:r>
    </w:p>
    <w:p>
      <w:pPr>
        <w:autoSpaceDN w:val="0"/>
        <w:autoSpaceDE w:val="0"/>
        <w:widowControl/>
        <w:spacing w:line="240" w:lineRule="auto" w:before="264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Conclusions </w:t>
      </w:r>
    </w:p>
    <w:p>
      <w:pPr>
        <w:autoSpaceDN w:val="0"/>
        <w:autoSpaceDE w:val="0"/>
        <w:widowControl/>
        <w:spacing w:line="320" w:lineRule="exact" w:before="29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 is a globally significant industry that, if well managed and sustainable, can generate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significant benefits for poor people and can contribute to many of the MDGs—directly and indirectly.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many cases, however, wildlife trade is unregulated, unmanaged or poorly managed—often resulting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a lose-lose situation for both biodiversity conservation and for poor people’s livelihoods.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Unsustainable wildlife trade has caused major population declines for a number of species—in turn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limiting the ability of local people to exploit these species for subsistence use or to derive income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them over the long term.  At the same time, inappropriate management interventions can result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significant opportunity costs for poor people with little or no conservation benefit.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 the other hand, well-managed trade can reverse the declines in previously threatened species—as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well as preventing currently unthreatened species becoming over-exploited.  This can open up new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opportunities for income generation as well as securing subsistence resources for food, health and other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needs.  Under the appropriate conditions, sustainable and well-managed wildlife trade can thus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contribute significantly to securing sustainable livelihoods at the local level and to delivering on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MDGs at the national level.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interventions are not a quick-fix solution, however.  Even the well-managed trade can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limited in the benefits it can provide—largely because of the nature of wildlife products and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relatively limited scope for their commercialization, but also because of weak governance regimes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insecure land and resource tenure.  The commitment to good governance that is critical to achieving all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MDGs is also central to sustainable management of the wildlife trade.  Enhancing the contribution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wildlife trade management to sustainable livelihoods and therefore to achieving the MDGs therefore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implies: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Far greater attention to biodiversity governance so that local people have security of tenure over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land and resources giving them an incentive for sustainable management and an authority to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exclude outsiders.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Further exploration of semi-intensive production mechanisms that do not present barriers to entry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poor people—this might mean coupling new production technologies with access to credit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training.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Further analysis of sustainable off-take levels for species in trade—before populations reach critical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levels—and experimentation with management regimes that can support those, without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undermining local people’s livelihoods.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Development of “pro-poor” approaches to standards and certification that encourage sustainable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 while at the same time generating decent returns for poor producers.</w:t>
      </w:r>
    </w:p>
    <w:p>
      <w:pPr>
        <w:autoSpaceDN w:val="0"/>
        <w:tabs>
          <w:tab w:pos="8788" w:val="left"/>
        </w:tabs>
        <w:autoSpaceDE w:val="0"/>
        <w:widowControl/>
        <w:spacing w:line="242" w:lineRule="auto" w:before="13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xi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Recognition of the links between different components of the wildlife trade and the need for a co-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ordinated approach to its management.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Further development of innovative approaches being put in place to address the unsustainable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harvest of the most commercially valuable commodities (timber, fish) to other parts of the wildlife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trade whose value may be unrecognized.</w:t>
      </w:r>
    </w:p>
    <w:p>
      <w:pPr>
        <w:autoSpaceDN w:val="0"/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Recognition of the link between consumer demand and unsustainable production and associated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attention to awareness-raising in consumer countries.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Greater integration of commercial and subsistence requirements of wildlife resources so that the one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use does not undermine the other.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recent report by WWF notes that the principles of sustainable use and benefit-sharing that are part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both the MDGs and the Convention on Biological Diversity (CBD) are supportive, but present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implementation challenges.  Sustainable wildlife trade offers one mechanism for achieving this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synergy—but only if management is appropriate to local people’s needs.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02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xii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INTRODUCTION</w:t>
      </w:r>
    </w:p>
    <w:p>
      <w:pPr>
        <w:autoSpaceDN w:val="0"/>
        <w:autoSpaceDE w:val="0"/>
        <w:widowControl/>
        <w:spacing w:line="318" w:lineRule="exact" w:before="332" w:after="0"/>
        <w:ind w:left="0" w:right="7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Millennium Development Goals (MDGs, see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Table 4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 are a set of eight goals and 18 targets,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agreed by national governments and development agencies in 2000 as a “road map” for development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assistance and poverty reduction efforts.  The sustainable management of natural resources is specif-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ically addressed in Goal 7, but also underpins delivery of the other goals since human well-being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inextricably linked to a healthy environment (Millennium Ecosystem Assessment, 2005a). 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Millennium Ecosystem Assessment (MA) warns that the degradation of ecosystem services poses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significant barrier to the achievement of the MDGs (Millennium Ecosystem Assessment, 2005a).</w:t>
      </w:r>
    </w:p>
    <w:p>
      <w:pPr>
        <w:autoSpaceDN w:val="0"/>
        <w:autoSpaceDE w:val="0"/>
        <w:widowControl/>
        <w:spacing w:line="320" w:lineRule="exact" w:before="320" w:after="0"/>
        <w:ind w:left="0" w:right="7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Despite growing acceptance of the importance of biodiversity goods and services to human well-being,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is still little recognition of the direct contribution of plant and animal products derived from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sources to human livelihoods—particularly the livelihoods of the rural poor.  Numerous studies (e.g.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Prescott-Allen and Prescott-Allen, 1982; Scoones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1992; Neumann and Hirsch, 2000; Angelsen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Wunder, 2003; Millennium Ecosystem Assessment, 2005a; World Resources Institute, 2005) have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found that it is often the poorest people and households that are most dependent on wild resources—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food, fuel, fodder, medicines and so on.  Overall, the UK Department for International Development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(DFID) estimates that of the 1.2 billion people in absolute poverty (with an income of less than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USD1/day), up to 150 million (13%) rely on wildlife as a key element of their livelihood asset base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(DFID, 2002).  This is partly to do with their proximity to wildlife resources but also related to their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limited access to substitutes or alternatives (Millennium Ecosystem Assessment, 2005a).  Other factors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(Belcher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2007) include: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resources are generally available as common property or open access resources and hence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accessible to remote communities with little financial or physical capital;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resources can be harvested and used with little processing and with low-cost technologies;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resources are available for direct consumption or sale when crops fail or when other shocks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hit the household. </w:t>
      </w:r>
    </w:p>
    <w:p>
      <w:pPr>
        <w:autoSpaceDN w:val="0"/>
        <w:autoSpaceDE w:val="0"/>
        <w:widowControl/>
        <w:spacing w:line="320" w:lineRule="exact" w:before="320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addition to local use, wildlife resources are also frequently harvested and sold by people and/or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companies based far from the resource, supplying markets hundreds or even thousands of miles away. </w:t>
      </w:r>
    </w:p>
    <w:p>
      <w:pPr>
        <w:autoSpaceDN w:val="0"/>
        <w:autoSpaceDE w:val="0"/>
        <w:widowControl/>
        <w:spacing w:line="320" w:lineRule="exact" w:before="320" w:after="0"/>
        <w:ind w:left="0" w:right="7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Much harvesting and trade of wild products is, however, poorly managed and, as such, unsustainable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wildlife trade can be one source of the ecosystem degradation highlighted by the MA, resulting in over-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exploitation of target species and knock-on effects on other species and wider habitat conservation.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in turn will have longer-term implications for the success or failure of efforts to tackle poverty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reduction.</w:t>
      </w:r>
    </w:p>
    <w:p>
      <w:pPr>
        <w:autoSpaceDN w:val="0"/>
        <w:autoSpaceDE w:val="0"/>
        <w:widowControl/>
        <w:spacing w:line="320" w:lineRule="exact" w:before="320" w:after="0"/>
        <w:ind w:left="0" w:right="7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importance of wildlife resource use is currently not well-reflected in much of the policy debates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concerning trade and the environment.  Not surprisingly therefore, there is also little understanding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importance of providing a policy and regulatory environment that promotes good governance,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supports the sustainable management of these critical resources and provides the basis for long-term,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sustainable poverty reduction. </w:t>
      </w:r>
    </w:p>
    <w:p>
      <w:pPr>
        <w:autoSpaceDN w:val="0"/>
        <w:tabs>
          <w:tab w:pos="8822" w:val="left"/>
        </w:tabs>
        <w:autoSpaceDE w:val="0"/>
        <w:widowControl/>
        <w:spacing w:line="242" w:lineRule="auto" w:before="89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1</w:t>
      </w:r>
    </w:p>
    <w:p>
      <w:pPr>
        <w:sectPr>
          <w:pgSz w:w="11713" w:h="16791"/>
          <w:pgMar w:top="684" w:right="1194" w:bottom="290" w:left="1416" w:header="720" w:footer="720" w:gutter="0"/>
          <w:cols w:space="720" w:num="1" w:equalWidth="0"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8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report explores the significance of wildlife trade to poor people and poor countries.  Drawing 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case studies documenting the trade in wild meat, coastal fisheries products and skins and wool—as well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the wider literature on trade in non-timber forest products (NTFPs)—the report assesses the ways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which sustainable wildlife trade contributes to securing more sustainable livelihoods and delivering 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MDGs.  Significant contributions can be shown across the majority of the MDGs, but it is 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unfortunate reality that much of wildlife trade is currently unsustainable and poorly managed.  This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runs the risk of undermining the very resource base on which many poor people are so dependent—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in turn, undermining the achievement of the other MDGs.  This report therefore also looks at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importance of effective management of the trade in wild species in order to maximize its potential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deliver on the MDGs.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report begins with a general introduction to wildlife trade and its links to delivery of the MDGs,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followed by a summary of different mechanisms used to manage the trade.  The importance of the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the MDGs is then considered in more detail through drawing on the case studies and an exploration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the wider literature.  The challenges of maximizing the development potential of the trade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highlighted and conclusions stemming from the discussion provided.  The three case studies give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examples of wildlife trade management in practice in Africa (wild meat), South America (skins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wool) and South-east Asia (coastal fisheries products).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METHODOLOGY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research for this report was conducted as a desk-based study including a literature review (covering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both “grey” and published literature), consultations with relevant experts and, where relevant, review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web-based project documents and other information.  The case studies were selected to illustrate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major commodity types (not including commercial timber and fisheries) within wildlife trade—wild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meat, skins and wool, ornamental and food fish; different regional contexts—Africa, Asia and Latin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America; and very different governance contexts and management regimes. 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A note on definitions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Many of the examples used in this report are from the literature on NTFPs which have been defined as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“all biological materials other than timber which are extracted from forests for human use” (de Beer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McDermott, 1996).  There is, however, no universal agreement as to what is and what is not 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NTFP (Belcher, 2003) although van Andel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(2003) note that wildlife (by which they mean products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animal origin) are often excluded from NTFP inventories. </w:t>
      </w:r>
    </w:p>
    <w:p>
      <w:pPr>
        <w:autoSpaceDN w:val="0"/>
        <w:autoSpaceDE w:val="0"/>
        <w:widowControl/>
        <w:spacing w:line="320" w:lineRule="exact" w:before="32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further complicate matters, the Food and Agriculture Organization of the United Nations (FAO),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source of much of the analysis on the nature and scale of trade in wild resources, uses the term non-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wood forest product (NWFP), which they define as “products of biological origin other than wood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derived from forests, wooded lands and trees outside forests” (FAO, 2001), rather than NTFP.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90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3648710</wp:posOffset>
            </wp:positionH>
            <wp:positionV relativeFrom="page">
              <wp:posOffset>4808220</wp:posOffset>
            </wp:positionV>
            <wp:extent cx="2815590" cy="2003888"/>
            <wp:wrapNone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5590" cy="200388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3632200</wp:posOffset>
            </wp:positionH>
            <wp:positionV relativeFrom="page">
              <wp:posOffset>4800600</wp:posOffset>
            </wp:positionV>
            <wp:extent cx="2844800" cy="2032000"/>
            <wp:wrapNone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032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Furthermore, the term “forest” itself has no single definition, and NTFP/NWFP are increasingly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applied to wild species (primarily terrestrial) from a variety of habitats.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Much of the literature on the trade in NTFP/NWFPs would thus appear to be applicable to the trade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majority of wildlife species and has thus been included in our analysis whether or not labelled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wildlife. In the context of this report the term “wildlife” is used to describe wild animal, plant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fungal species, terrestrial and aquatic, that continue to occur in the wild regardless of whether or not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domestic varieties have been developed—this encompasses those products described as NTFPs 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NWFPs.   Similarly the term “wildlife trade” is used to describe the sale or exchange by people of such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resources—including live specimens and their derivatives. 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BACKGROUND</w:t>
      </w:r>
    </w:p>
    <w:p>
      <w:pPr>
        <w:autoSpaceDN w:val="0"/>
        <w:autoSpaceDE w:val="0"/>
        <w:widowControl/>
        <w:spacing w:line="240" w:lineRule="auto" w:before="314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What is wildlife trade?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trade, in simple terms, is any sale or exchange by people of wild animal and plant resources.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species are traded in many forms in order to produce a wide variety of products.  Major uses (Roe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2002) include:</w:t>
      </w:r>
    </w:p>
    <w:p>
      <w:pPr>
        <w:autoSpaceDN w:val="0"/>
        <w:autoSpaceDE w:val="0"/>
        <w:widowControl/>
        <w:spacing w:line="312" w:lineRule="exact" w:before="342" w:after="14"/>
        <w:ind w:left="0" w:right="4948" w:firstLine="0"/>
        <w:jc w:val="both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Medicines: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Many medicines, both traditional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“western” are based on wild plants or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compounds extracted from them.  Based on a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16"/>
        <w:gridCol w:w="3016"/>
        <w:gridCol w:w="3016"/>
      </w:tblGrid>
      <w:tr>
        <w:trPr>
          <w:trHeight w:hRule="exact" w:val="318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review of published medicinal floras,</w:t>
            </w:r>
          </w:p>
        </w:tc>
        <w:tc>
          <w:tcPr>
            <w:tcW w:type="dxa" w:w="376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440" w:after="0"/>
              <w:ind w:left="96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 xml:space="preserve">Myrtle </w:t>
            </w:r>
            <w:r>
              <w:rPr>
                <w:rFonts w:ascii="GillSansMT" w:hAnsi="GillSansMT" w:eastAsia="GillSansMT"/>
                <w:b/>
                <w:i/>
                <w:color w:val="A9A9A9"/>
                <w:sz w:val="20"/>
              </w:rPr>
              <w:t>Myrta communis</w:t>
            </w: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,Tunisia</w:t>
            </w:r>
          </w:p>
        </w:tc>
        <w:tc>
          <w:tcPr>
            <w:tcW w:type="dxa" w:w="100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6" w:lineRule="exact" w:before="786" w:after="0"/>
              <w:ind w:left="526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>: WWF-Canon/Michel Gunther</w:t>
            </w:r>
          </w:p>
        </w:tc>
      </w:tr>
      <w:tr>
        <w:trPr>
          <w:trHeight w:hRule="exact" w:val="320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Schippmann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et al.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(2006) estimate that </w:t>
            </w:r>
          </w:p>
        </w:tc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50 000–70 000 plant species are used in</w:t>
            </w:r>
          </w:p>
        </w:tc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traditional and modern medical systems</w:t>
            </w:r>
          </w:p>
        </w:tc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throughout the world.  The same authors</w:t>
            </w:r>
          </w:p>
        </w:tc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propose that approximately 3000 medicinal</w:t>
            </w:r>
          </w:p>
        </w:tc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and aromatic plant (MAP) species are</w:t>
            </w:r>
          </w:p>
        </w:tc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involved in international trade, based on the</w:t>
            </w:r>
          </w:p>
        </w:tc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42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number of documented species imported to</w:t>
            </w:r>
          </w:p>
        </w:tc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314" w:lineRule="exact" w:before="0" w:after="0"/>
        <w:ind w:left="0" w:right="4896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exported from major centres of MAP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trade.</w:t>
      </w:r>
    </w:p>
    <w:p>
      <w:pPr>
        <w:autoSpaceDN w:val="0"/>
        <w:autoSpaceDE w:val="0"/>
        <w:widowControl/>
        <w:spacing w:line="312" w:lineRule="exact" w:before="342" w:after="0"/>
        <w:ind w:left="0" w:right="22" w:firstLine="0"/>
        <w:jc w:val="both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Food: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Although most wildlife hunted or collected for use as food is consumed directly, there is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substantial international trade in a variety of NTFPs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Table 1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 The trade in fisheries products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dominates the food trade in animal species. </w:t>
      </w:r>
    </w:p>
    <w:p>
      <w:pPr>
        <w:autoSpaceDN w:val="0"/>
        <w:autoSpaceDE w:val="0"/>
        <w:widowControl/>
        <w:spacing w:line="312" w:lineRule="exact" w:before="342" w:after="0"/>
        <w:ind w:left="0" w:right="20" w:firstLine="0"/>
        <w:jc w:val="both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Ornaments and furnishings: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 wide variety of wildlife products are used for decoration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ornamental purposes including: wood, ivory, coral, turtle and mollusc shells, reptile and other skins,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feathers.  Tourist items are often crafted from local wildlife, including jewellery and ornaments</w:t>
      </w:r>
    </w:p>
    <w:p>
      <w:pPr>
        <w:autoSpaceDN w:val="0"/>
        <w:tabs>
          <w:tab w:pos="8822" w:val="left"/>
        </w:tabs>
        <w:autoSpaceDE w:val="0"/>
        <w:widowControl/>
        <w:spacing w:line="242" w:lineRule="auto" w:before="158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3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1066800</wp:posOffset>
            </wp:positionH>
            <wp:positionV relativeFrom="page">
              <wp:posOffset>1529080</wp:posOffset>
            </wp:positionV>
            <wp:extent cx="2819400" cy="1816100"/>
            <wp:wrapNone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8161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1054100</wp:posOffset>
            </wp:positionH>
            <wp:positionV relativeFrom="page">
              <wp:posOffset>1524000</wp:posOffset>
            </wp:positionV>
            <wp:extent cx="2844800" cy="1841500"/>
            <wp:wrapNone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8415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06" w:lineRule="exact" w:before="0" w:after="0"/>
        <w:ind w:left="3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crafted from corals and shells, curios such as insects or other small animals encased in plastic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stuffed animals.</w:t>
      </w:r>
    </w:p>
    <w:p>
      <w:pPr>
        <w:autoSpaceDN w:val="0"/>
        <w:autoSpaceDE w:val="0"/>
        <w:widowControl/>
        <w:spacing w:line="306" w:lineRule="exact" w:before="348" w:after="14"/>
        <w:ind w:left="4896" w:right="22" w:firstLine="0"/>
        <w:jc w:val="righ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Clothing: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Skins, furs, feathers and wool from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many mammal, reptile, bird and fish species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26"/>
        <w:gridCol w:w="3026"/>
        <w:gridCol w:w="3026"/>
      </w:tblGrid>
      <w:tr>
        <w:trPr>
          <w:trHeight w:hRule="exact" w:val="318"/>
        </w:trPr>
        <w:tc>
          <w:tcPr>
            <w:tcW w:type="dxa" w:w="234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6" w:lineRule="exact" w:before="0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Ronald Petocz/WWF-Canon </w:t>
            </w:r>
          </w:p>
        </w:tc>
        <w:tc>
          <w:tcPr>
            <w:tcW w:type="dxa" w:w="46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38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A herd of endangered Tibetan Antelope</w:t>
            </w:r>
          </w:p>
        </w:tc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12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are traded internationally to make clothing,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12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boots and shoes, bags and other items.  These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12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include expensive and high fashion items, e.g.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12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shahtoosh shawls made from the endangered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2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Tibetan Antelope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Pantholops hodgsonii,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as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2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well as more widely available and legally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2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traded products such as snake skin accessories</w:t>
            </w:r>
          </w:p>
        </w:tc>
      </w:tr>
      <w:tr>
        <w:trPr>
          <w:trHeight w:hRule="exact" w:val="39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2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(e.g. belts, wallets). </w:t>
            </w:r>
          </w:p>
        </w:tc>
      </w:tr>
    </w:tbl>
    <w:p>
      <w:pPr>
        <w:autoSpaceDN w:val="0"/>
        <w:autoSpaceDE w:val="0"/>
        <w:widowControl/>
        <w:spacing w:line="240" w:lineRule="auto" w:before="14" w:after="28"/>
        <w:ind w:left="286" w:right="0" w:firstLine="0"/>
        <w:jc w:val="left"/>
      </w:pPr>
      <w:r>
        <w:rPr>
          <w:rFonts w:ascii="GillSansMT" w:hAnsi="GillSansMT" w:eastAsia="GillSansMT"/>
          <w:b/>
          <w:i/>
          <w:color w:val="A9A9A9"/>
          <w:sz w:val="20"/>
        </w:rPr>
        <w:t xml:space="preserve">Pantholops hodgsonii </w:t>
      </w:r>
      <w:r>
        <w:rPr>
          <w:rFonts w:ascii="GillSansMT" w:hAnsi="GillSansMT" w:eastAsia="GillSansMT"/>
          <w:b/>
          <w:i w:val="0"/>
          <w:color w:val="A9A9A9"/>
          <w:sz w:val="20"/>
        </w:rPr>
        <w:t>on the Aqik Lake plain,</w:t>
      </w:r>
    </w:p>
    <w:p>
      <w:pPr>
        <w:sectPr>
          <w:pgSz w:w="11713" w:h="16791"/>
          <w:pgMar w:top="678" w:right="1248" w:bottom="290" w:left="1386" w:header="720" w:footer="720" w:gutter="0"/>
          <w:cols w:space="720" w:num="1" w:equalWidth="0"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40" w:lineRule="auto" w:before="0" w:after="0"/>
        <w:ind w:left="286" w:right="0" w:firstLine="0"/>
        <w:jc w:val="left"/>
      </w:pPr>
      <w:r>
        <w:rPr>
          <w:rFonts w:ascii="GillSansMT" w:hAnsi="GillSansMT" w:eastAsia="GillSansMT"/>
          <w:b/>
          <w:i w:val="0"/>
          <w:color w:val="A9A9A9"/>
          <w:sz w:val="20"/>
        </w:rPr>
        <w:t xml:space="preserve">Arjin Mountains, Xinjiang, China </w:t>
      </w:r>
    </w:p>
    <w:p>
      <w:pPr>
        <w:sectPr>
          <w:type w:val="continuous"/>
          <w:pgSz w:w="11713" w:h="16791"/>
          <w:pgMar w:top="678" w:right="1248" w:bottom="290" w:left="1386" w:header="720" w:footer="720" w:gutter="0"/>
          <w:cols w:space="720" w:num="2" w:equalWidth="0"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06" w:lineRule="exact" w:before="2" w:after="26"/>
        <w:ind w:left="792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Pets/hobbies: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The increased availability of air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transport around the world has greatly</w:t>
      </w:r>
    </w:p>
    <w:p>
      <w:pPr>
        <w:sectPr>
          <w:type w:val="nextColumn"/>
          <w:pgSz w:w="11713" w:h="16791"/>
          <w:pgMar w:top="678" w:right="1248" w:bottom="290" w:left="1386" w:header="720" w:footer="720" w:gutter="0"/>
          <w:cols w:space="720" w:num="2" w:equalWidth="0"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2" w:lineRule="exact" w:before="0" w:after="286"/>
        <w:ind w:left="3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expanded the variety and numbers of wild species traded for use as pets or as hobbies.  The interna-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tional trade is dominated by reptiles, birds and ornamental fish, but includes invertebrate species such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scorpions and spiders. 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270"/>
        <w:gridCol w:w="2270"/>
        <w:gridCol w:w="2270"/>
        <w:gridCol w:w="2270"/>
      </w:tblGrid>
      <w:tr>
        <w:trPr>
          <w:trHeight w:hRule="exact" w:val="366"/>
        </w:trPr>
        <w:tc>
          <w:tcPr>
            <w:tcW w:type="dxa" w:w="234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6" w:lineRule="exact" w:before="0" w:after="0"/>
              <w:ind w:left="534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Michel Gunther/WWF-Canon </w:t>
            </w:r>
          </w:p>
        </w:tc>
        <w:tc>
          <w:tcPr>
            <w:tcW w:type="dxa" w:w="34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198" w:after="0"/>
              <w:ind w:left="0" w:right="0" w:firstLine="0"/>
              <w:jc w:val="center"/>
            </w:pPr>
            <w:r>
              <w:drawing>
                <wp:inline xmlns:a="http://schemas.openxmlformats.org/drawingml/2006/main" xmlns:pic="http://schemas.openxmlformats.org/drawingml/2006/picture">
                  <wp:extent cx="2054860" cy="2213609"/>
                  <wp:docPr id="8" name="Picture 8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860" cy="221360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08" w:lineRule="exact" w:before="58" w:after="0"/>
              <w:ind w:left="114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2"/>
              </w:rPr>
              <w:t>Ornamental plants: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A significant percentage of what are</w:t>
            </w:r>
          </w:p>
        </w:tc>
      </w:tr>
      <w:tr>
        <w:trPr>
          <w:trHeight w:hRule="exact" w:val="3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now considered common garden and indoor plants</w:t>
            </w:r>
          </w:p>
        </w:tc>
      </w:tr>
      <w:tr>
        <w:trPr>
          <w:trHeight w:hRule="exact" w:val="3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(including snowdrops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Gallanthus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spp., crocuses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Crocus</w:t>
            </w:r>
          </w:p>
        </w:tc>
      </w:tr>
      <w:tr>
        <w:trPr>
          <w:trHeight w:hRule="exact" w:val="3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spp., cyclamens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Cyclamen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spp., palms and so on) are the</w:t>
            </w:r>
          </w:p>
        </w:tc>
      </w:tr>
      <w:tr>
        <w:trPr>
          <w:trHeight w:hRule="exact" w:val="3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product of international trade that has been taking place for</w:t>
            </w:r>
          </w:p>
        </w:tc>
      </w:tr>
      <w:tr>
        <w:trPr>
          <w:trHeight w:hRule="exact" w:val="3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centuries.  Although much of the trade now involves artifi-</w:t>
            </w:r>
          </w:p>
        </w:tc>
      </w:tr>
      <w:tr>
        <w:trPr>
          <w:trHeight w:hRule="exact" w:val="3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cially propagated plants, there are still millions of wild</w:t>
            </w:r>
          </w:p>
        </w:tc>
      </w:tr>
      <w:tr>
        <w:trPr>
          <w:trHeight w:hRule="exact" w:val="3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plants traded internationally each year, including a specialist</w:t>
            </w:r>
          </w:p>
        </w:tc>
      </w:tr>
      <w:tr>
        <w:trPr>
          <w:trHeight w:hRule="exact" w:val="48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trade in rare species.</w:t>
            </w:r>
          </w:p>
        </w:tc>
      </w:tr>
      <w:tr>
        <w:trPr>
          <w:trHeight w:hRule="exact" w:val="48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3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06" w:lineRule="exact" w:before="174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2"/>
              </w:rPr>
              <w:t>Manufacturing and construction:</w:t>
            </w:r>
          </w:p>
        </w:tc>
        <w:tc>
          <w:tcPr>
            <w:tcW w:type="dxa" w:w="16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74" w:after="0"/>
              <w:ind w:left="10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Forest products</w:t>
            </w:r>
          </w:p>
        </w:tc>
      </w:tr>
      <w:tr>
        <w:trPr>
          <w:trHeight w:hRule="exact" w:val="1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2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including timber, rattan and bamboo for furniture making,</w:t>
            </w:r>
          </w:p>
        </w:tc>
      </w:tr>
      <w:tr>
        <w:trPr>
          <w:trHeight w:hRule="exact" w:val="200"/>
        </w:trPr>
        <w:tc>
          <w:tcPr>
            <w:tcW w:type="dxa" w:w="2270"/>
            <w:vMerge/>
            <w:tcBorders/>
          </w:tcPr>
          <w:p/>
        </w:tc>
        <w:tc>
          <w:tcPr>
            <w:tcW w:type="dxa" w:w="34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8" w:lineRule="auto" w:before="20" w:after="0"/>
              <w:ind w:left="64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Wild snowdrop harvest,Turkey</w:t>
            </w:r>
          </w:p>
        </w:tc>
        <w:tc>
          <w:tcPr>
            <w:tcW w:type="dxa" w:w="4540"/>
            <w:gridSpan w:val="2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2270"/>
            <w:vMerge/>
            <w:tcBorders/>
          </w:tcPr>
          <w:p/>
        </w:tc>
        <w:tc>
          <w:tcPr>
            <w:tcW w:type="dxa" w:w="2270"/>
            <w:vMerge/>
            <w:tcBorders/>
          </w:tcPr>
          <w:p/>
        </w:tc>
        <w:tc>
          <w:tcPr>
            <w:tcW w:type="dxa" w:w="54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2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plant oils and gums, dyes, resins, latex, etc. are all traded</w:t>
            </w:r>
          </w:p>
        </w:tc>
      </w:tr>
    </w:tbl>
    <w:p>
      <w:pPr>
        <w:autoSpaceDN w:val="0"/>
        <w:autoSpaceDE w:val="0"/>
        <w:widowControl/>
        <w:spacing w:line="294" w:lineRule="exact" w:before="14" w:after="0"/>
        <w:ind w:left="0" w:right="2446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internationally in large volumes.</w:t>
      </w:r>
    </w:p>
    <w:p>
      <w:pPr>
        <w:autoSpaceDN w:val="0"/>
        <w:autoSpaceDE w:val="0"/>
        <w:widowControl/>
        <w:spacing w:line="320" w:lineRule="exact" w:before="334" w:after="0"/>
        <w:ind w:left="3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Relatively few of the products listed in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Table 1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are commonly thought of as being components of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“wildlife trade”, with the exception of wild animals and animal products, ornamental and medicinal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plants and incense woods (Broad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, 2003).  The scale of the international trade in more “typical”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(if actually less common) wildlife products is illustrated by recent data for species covered by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Convention on International Trade in Endangered Species of Wild Fauna and Flora (CITES)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Table 2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).</w:t>
      </w:r>
    </w:p>
    <w:p>
      <w:pPr>
        <w:autoSpaceDN w:val="0"/>
        <w:tabs>
          <w:tab w:pos="4120" w:val="left"/>
        </w:tabs>
        <w:autoSpaceDE w:val="0"/>
        <w:widowControl/>
        <w:spacing w:line="242" w:lineRule="auto" w:before="1886" w:after="0"/>
        <w:ind w:left="5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type w:val="continuous"/>
          <w:pgSz w:w="11713" w:h="16791"/>
          <w:pgMar w:top="678" w:right="1248" w:bottom="290" w:left="1386" w:header="720" w:footer="720" w:gutter="0"/>
          <w:cols w:space="720" w:num="1" w:equalWidth="0"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1651000</wp:posOffset>
            </wp:positionV>
            <wp:extent cx="5803900" cy="6731000"/>
            <wp:wrapNone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6731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0" w:lineRule="auto" w:before="0" w:after="0"/>
        <w:ind w:left="4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Table 1</w:t>
      </w:r>
    </w:p>
    <w:p>
      <w:pPr>
        <w:autoSpaceDN w:val="0"/>
        <w:autoSpaceDE w:val="0"/>
        <w:widowControl/>
        <w:spacing w:line="240" w:lineRule="auto" w:before="386" w:after="0"/>
        <w:ind w:left="4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Commercially significant wild resources in international trade</w:t>
      </w:r>
    </w:p>
    <w:p>
      <w:pPr>
        <w:autoSpaceDN w:val="0"/>
        <w:tabs>
          <w:tab w:pos="2430" w:val="left"/>
        </w:tabs>
        <w:autoSpaceDE w:val="0"/>
        <w:widowControl/>
        <w:spacing w:line="304" w:lineRule="exact" w:before="268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Category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Product</w:t>
      </w:r>
    </w:p>
    <w:p>
      <w:pPr>
        <w:autoSpaceDN w:val="0"/>
        <w:tabs>
          <w:tab w:pos="2446" w:val="left"/>
        </w:tabs>
        <w:autoSpaceDE w:val="0"/>
        <w:widowControl/>
        <w:spacing w:line="300" w:lineRule="exact" w:before="276" w:after="0"/>
        <w:ind w:left="60" w:right="1008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F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OOD PRODUCTS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Nuts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brazil nuts, pine nuts, pignolia nuts, malva nuts, walnuts and chestnuts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Fruits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jujube, sapodilla, ginkgo </w:t>
      </w:r>
      <w:r>
        <w:br/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Fungi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morels, truffles, pine mushrooms </w:t>
      </w:r>
      <w:r>
        <w:br/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Vegetables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bamboo shoots, osmunds, reindeer moss, palm hearts </w:t>
      </w:r>
      <w:r>
        <w:br/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Starches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sago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Bird nests </w:t>
      </w:r>
      <w:r>
        <w:br/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Oils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shea nuts, babassu oil, illipe oil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Maple sugar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H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ERBS AND SPICES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Nutmeg, mace, cinnamon, cassia, cardamom,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Galanga, allspice, caraway, bay leaves, oregano etc.</w:t>
      </w:r>
    </w:p>
    <w:p>
      <w:pPr>
        <w:autoSpaceDN w:val="0"/>
        <w:tabs>
          <w:tab w:pos="2446" w:val="left"/>
        </w:tabs>
        <w:autoSpaceDE w:val="0"/>
        <w:widowControl/>
        <w:spacing w:line="300" w:lineRule="exact" w:before="0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I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NDUSTRIAL PLANT OILS AND WAXES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Tung oil, neem oil, jojoba oil, kemiri (candle, lumbang) oil, akar wangi, babassu, oticica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and kapok oils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Carnauba wax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P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LANT GUMS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For food uses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gum arabic, tragacanth, karaya, carob </w:t>
      </w:r>
      <w:r>
        <w:br/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Technological grade gums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talha, combretum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N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ATURAL PIGMENTS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Annatto seeds, logwood, indigo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O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LEORESINS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Pine oleoresin, copal, damar, gamboge, benzoin gum, dragon's blood (Benjamin), copaiba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oil, amber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F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IBRES AND FLOSSES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Fibres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bamboo, rattan, xateattap, aren, osier, raffia, toquilla straw products, cork, esparto,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Erica and other broom grasses </w:t>
      </w:r>
      <w:r>
        <w:br/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Flosses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kapok or silk cotton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V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EGETABLE TANNING MATERIALS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Quebracho, mimosa, chestnut and catha/cutch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L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ATEX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Natural rubber, gutta percha, jelutong, sorva and chicle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I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NSECT PRODUCTS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Honey, beeswax, lac and lac-dye, silk, cochineal,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aleppo galls, kermes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I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NCENSE WOODS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Sandalwood, gharu or aloewood [agarwood]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E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SSENTIAL OILS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Various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Pyrethrum, derris, medang and peuak bong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P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LANT INSECTICIDES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M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EDICINAL PLANTS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Various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W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ILD PLANTS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Various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A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NIMALS AND ANIMAL PRODUCTS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Ivory, trophies, skins, feathers, eggs, butterflies, live animals and birds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bidi leaves, soap nut, Quillaia bark, betel and cola nuts, chewing sticks, lacquer, dom nuts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M</w:t>
      </w:r>
      <w:r>
        <w:rPr>
          <w:w w:val="96.42857142857143"/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ISCELLANEOUS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or ivory nuts</w:t>
      </w:r>
    </w:p>
    <w:p>
      <w:pPr>
        <w:autoSpaceDN w:val="0"/>
        <w:autoSpaceDE w:val="0"/>
        <w:widowControl/>
        <w:spacing w:line="266" w:lineRule="exact" w:before="142" w:after="0"/>
        <w:ind w:left="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 xml:space="preserve">Source: 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Iqbal 1993, as cited in Iqbal 1995.</w:t>
      </w:r>
    </w:p>
    <w:p>
      <w:pPr>
        <w:autoSpaceDN w:val="0"/>
        <w:tabs>
          <w:tab w:pos="8802" w:val="left"/>
        </w:tabs>
        <w:autoSpaceDE w:val="0"/>
        <w:widowControl/>
        <w:spacing w:line="242" w:lineRule="auto" w:before="2536" w:after="0"/>
        <w:ind w:left="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5</w:t>
      </w:r>
    </w:p>
    <w:p>
      <w:pPr>
        <w:sectPr>
          <w:pgSz w:w="11713" w:h="16791"/>
          <w:pgMar w:top="720" w:right="1234" w:bottom="290" w:left="1436" w:header="720" w:footer="720" w:gutter="0"/>
          <w:cols w:space="720" w:num="1" w:equalWidth="0"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1625600</wp:posOffset>
            </wp:positionV>
            <wp:extent cx="5753100" cy="4749800"/>
            <wp:wrapNone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7498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0" w:lineRule="auto" w:before="0" w:after="0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 xml:space="preserve">Table 2 </w:t>
      </w:r>
    </w:p>
    <w:p>
      <w:pPr>
        <w:autoSpaceDN w:val="0"/>
        <w:autoSpaceDE w:val="0"/>
        <w:widowControl/>
        <w:spacing w:line="240" w:lineRule="auto" w:before="386" w:after="188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The scale of reported international trade in CITES-listed species (2000–2005)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3019"/>
        <w:gridCol w:w="3019"/>
        <w:gridCol w:w="3019"/>
      </w:tblGrid>
      <w:tr>
        <w:trPr>
          <w:trHeight w:hRule="exact" w:val="516"/>
        </w:trPr>
        <w:tc>
          <w:tcPr>
            <w:tcW w:type="dxa" w:w="25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6" w:lineRule="exact" w:before="60" w:after="0"/>
              <w:ind w:left="5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Commodity</w:t>
            </w:r>
          </w:p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6" w:lineRule="exact" w:before="60" w:after="0"/>
              <w:ind w:left="43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Type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6" w:lineRule="exact" w:before="60" w:after="0"/>
              <w:ind w:left="58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Numbers of specimens</w:t>
            </w:r>
          </w:p>
        </w:tc>
      </w:tr>
      <w:tr>
        <w:trPr>
          <w:trHeight w:hRule="exact" w:val="480"/>
        </w:trPr>
        <w:tc>
          <w:tcPr>
            <w:tcW w:type="dxa" w:w="25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202" w:after="0"/>
              <w:ind w:left="5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Live birds</w:t>
            </w:r>
          </w:p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202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Birds of prey (Falconiformes)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202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30 000</w:t>
            </w:r>
          </w:p>
        </w:tc>
      </w:tr>
      <w:tr>
        <w:trPr>
          <w:trHeight w:hRule="exact" w:val="322"/>
        </w:trPr>
        <w:tc>
          <w:tcPr>
            <w:tcW w:type="dxa" w:w="256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1002" w:after="0"/>
              <w:ind w:left="5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Live reptiles and amphibians</w:t>
            </w:r>
          </w:p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Parrots (Psittacidae)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2.5 million</w:t>
            </w:r>
          </w:p>
        </w:tc>
      </w:tr>
      <w:tr>
        <w:trPr>
          <w:trHeight w:hRule="exact" w:val="320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Song birds (Passerines)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3.9 million</w:t>
            </w:r>
          </w:p>
        </w:tc>
      </w:tr>
      <w:tr>
        <w:trPr>
          <w:trHeight w:hRule="exact" w:val="320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Others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300 000</w:t>
            </w:r>
          </w:p>
        </w:tc>
      </w:tr>
      <w:tr>
        <w:trPr>
          <w:trHeight w:hRule="exact" w:val="318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Tortoises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600 000</w:t>
            </w:r>
          </w:p>
        </w:tc>
      </w:tr>
      <w:tr>
        <w:trPr>
          <w:trHeight w:hRule="exact" w:val="322"/>
        </w:trPr>
        <w:tc>
          <w:tcPr>
            <w:tcW w:type="dxa" w:w="256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1002" w:after="0"/>
              <w:ind w:left="5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Reptile skins</w:t>
            </w:r>
          </w:p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Lizards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5.6 million</w:t>
            </w:r>
          </w:p>
        </w:tc>
      </w:tr>
      <w:tr>
        <w:trPr>
          <w:trHeight w:hRule="exact" w:val="320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Snakes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1.7 million</w:t>
            </w:r>
          </w:p>
        </w:tc>
      </w:tr>
      <w:tr>
        <w:trPr>
          <w:trHeight w:hRule="exact" w:val="320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Amphibians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236 000</w:t>
            </w:r>
          </w:p>
        </w:tc>
      </w:tr>
      <w:tr>
        <w:trPr>
          <w:trHeight w:hRule="exact" w:val="318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Crocodiles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11.1 million</w:t>
            </w:r>
          </w:p>
        </w:tc>
      </w:tr>
      <w:tr>
        <w:trPr>
          <w:trHeight w:hRule="exact" w:val="322"/>
        </w:trPr>
        <w:tc>
          <w:tcPr>
            <w:tcW w:type="dxa" w:w="256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682" w:after="0"/>
              <w:ind w:left="5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Invertebrates</w:t>
            </w:r>
          </w:p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Lizards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10.7 million</w:t>
            </w:r>
          </w:p>
        </w:tc>
      </w:tr>
      <w:tr>
        <w:trPr>
          <w:trHeight w:hRule="exact" w:val="320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Snakes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8.2 million</w:t>
            </w:r>
          </w:p>
        </w:tc>
      </w:tr>
      <w:tr>
        <w:trPr>
          <w:trHeight w:hRule="exact" w:val="318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Corals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6.5 million</w:t>
            </w:r>
          </w:p>
        </w:tc>
      </w:tr>
      <w:tr>
        <w:trPr>
          <w:trHeight w:hRule="exact" w:val="322"/>
        </w:trPr>
        <w:tc>
          <w:tcPr>
            <w:tcW w:type="dxa" w:w="3019"/>
            <w:vMerge/>
            <w:tcBorders/>
          </w:tcPr>
          <w:p/>
        </w:tc>
        <w:tc>
          <w:tcPr>
            <w:tcW w:type="dxa" w:w="3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43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 xml:space="preserve">Others (e.g.live or dead insects, </w:t>
            </w:r>
          </w:p>
        </w:tc>
        <w:tc>
          <w:tcPr>
            <w:tcW w:type="dxa" w:w="2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58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 million</w:t>
            </w:r>
          </w:p>
        </w:tc>
      </w:tr>
    </w:tbl>
    <w:p>
      <w:pPr>
        <w:autoSpaceDN w:val="0"/>
        <w:autoSpaceDE w:val="0"/>
        <w:widowControl/>
        <w:spacing w:line="240" w:lineRule="exact" w:before="40" w:after="40"/>
        <w:ind w:left="0" w:right="4046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spiders, butterflies, beetles)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3019"/>
        <w:gridCol w:w="3019"/>
        <w:gridCol w:w="3019"/>
      </w:tblGrid>
      <w:tr>
        <w:trPr>
          <w:trHeight w:hRule="exact" w:val="318"/>
        </w:trPr>
        <w:tc>
          <w:tcPr>
            <w:tcW w:type="dxa" w:w="21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5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Plants</w:t>
            </w:r>
          </w:p>
        </w:tc>
        <w:tc>
          <w:tcPr>
            <w:tcW w:type="dxa" w:w="3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0" w:right="816" w:firstLine="0"/>
              <w:jc w:val="righ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8"/>
              </w:rPr>
              <w:t>Galanthus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 xml:space="preserve"> plants or bulbs</w:t>
            </w:r>
          </w:p>
        </w:tc>
        <w:tc>
          <w:tcPr>
            <w:tcW w:type="dxa" w:w="25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244 million</w:t>
            </w:r>
          </w:p>
        </w:tc>
      </w:tr>
      <w:tr>
        <w:trPr>
          <w:trHeight w:hRule="exact" w:val="322"/>
        </w:trPr>
        <w:tc>
          <w:tcPr>
            <w:tcW w:type="dxa" w:w="21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1002" w:after="0"/>
              <w:ind w:left="5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Tropical Timber</w:t>
            </w:r>
          </w:p>
        </w:tc>
        <w:tc>
          <w:tcPr>
            <w:tcW w:type="dxa" w:w="3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0" w:right="211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Orchids</w:t>
            </w:r>
          </w:p>
        </w:tc>
        <w:tc>
          <w:tcPr>
            <w:tcW w:type="dxa" w:w="25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370 million</w:t>
            </w:r>
          </w:p>
        </w:tc>
      </w:tr>
      <w:tr>
        <w:trPr>
          <w:trHeight w:hRule="exact" w:val="320"/>
        </w:trPr>
        <w:tc>
          <w:tcPr>
            <w:tcW w:type="dxa" w:w="3019"/>
            <w:vMerge/>
            <w:tcBorders/>
          </w:tcPr>
          <w:p/>
        </w:tc>
        <w:tc>
          <w:tcPr>
            <w:tcW w:type="dxa" w:w="3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0" w:right="230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Cacti</w:t>
            </w:r>
          </w:p>
        </w:tc>
        <w:tc>
          <w:tcPr>
            <w:tcW w:type="dxa" w:w="25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0" w:right="94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88 million</w:t>
            </w:r>
          </w:p>
        </w:tc>
      </w:tr>
      <w:tr>
        <w:trPr>
          <w:trHeight w:hRule="exact" w:val="305"/>
        </w:trPr>
        <w:tc>
          <w:tcPr>
            <w:tcW w:type="dxa" w:w="3019"/>
            <w:vMerge/>
            <w:tcBorders/>
          </w:tcPr>
          <w:p/>
        </w:tc>
        <w:tc>
          <w:tcPr>
            <w:tcW w:type="dxa" w:w="3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Cyclamen plants or bulbs</w:t>
            </w:r>
          </w:p>
        </w:tc>
        <w:tc>
          <w:tcPr>
            <w:tcW w:type="dxa" w:w="25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40" w:after="0"/>
              <w:ind w:left="0" w:right="94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18 million</w:t>
            </w:r>
          </w:p>
        </w:tc>
      </w:tr>
      <w:tr>
        <w:trPr>
          <w:trHeight w:hRule="exact" w:val="293"/>
        </w:trPr>
        <w:tc>
          <w:tcPr>
            <w:tcW w:type="dxa" w:w="3019"/>
            <w:vMerge/>
            <w:tcBorders/>
          </w:tcPr>
          <w:p/>
        </w:tc>
        <w:tc>
          <w:tcPr>
            <w:tcW w:type="dxa" w:w="3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52" w:after="0"/>
              <w:ind w:left="0" w:right="191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Mahogany</w:t>
            </w:r>
          </w:p>
        </w:tc>
        <w:tc>
          <w:tcPr>
            <w:tcW w:type="dxa" w:w="25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8" w:lineRule="exact" w:before="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745 000 m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</w:t>
            </w:r>
          </w:p>
        </w:tc>
      </w:tr>
      <w:tr>
        <w:trPr>
          <w:trHeight w:hRule="exact" w:val="320"/>
        </w:trPr>
        <w:tc>
          <w:tcPr>
            <w:tcW w:type="dxa" w:w="3019"/>
            <w:vMerge/>
            <w:tcBorders/>
          </w:tcPr>
          <w:p/>
        </w:tc>
        <w:tc>
          <w:tcPr>
            <w:tcW w:type="dxa" w:w="3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80" w:after="0"/>
              <w:ind w:left="0" w:right="1580" w:firstLine="0"/>
              <w:jc w:val="righ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8"/>
              </w:rPr>
              <w:t>Pericopsis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 xml:space="preserve"> spp.</w:t>
            </w:r>
          </w:p>
        </w:tc>
        <w:tc>
          <w:tcPr>
            <w:tcW w:type="dxa" w:w="25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8" w:lineRule="exact" w:before="22" w:after="0"/>
              <w:ind w:left="0" w:right="91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71 000 m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</w:t>
            </w:r>
          </w:p>
        </w:tc>
      </w:tr>
      <w:tr>
        <w:trPr>
          <w:trHeight w:hRule="exact" w:val="382"/>
        </w:trPr>
        <w:tc>
          <w:tcPr>
            <w:tcW w:type="dxa" w:w="3019"/>
            <w:vMerge/>
            <w:tcBorders/>
          </w:tcPr>
          <w:p/>
        </w:tc>
        <w:tc>
          <w:tcPr>
            <w:tcW w:type="dxa" w:w="3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82" w:after="0"/>
              <w:ind w:left="0" w:right="215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 xml:space="preserve">Ramin </w:t>
            </w:r>
          </w:p>
        </w:tc>
        <w:tc>
          <w:tcPr>
            <w:tcW w:type="dxa" w:w="25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8" w:lineRule="exact" w:before="2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322 000 m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8"/>
              </w:rPr>
              <w:t>3</w:t>
            </w:r>
          </w:p>
        </w:tc>
      </w:tr>
    </w:tbl>
    <w:p>
      <w:pPr>
        <w:autoSpaceDN w:val="0"/>
        <w:autoSpaceDE w:val="0"/>
        <w:widowControl/>
        <w:spacing w:line="300" w:lineRule="exact" w:before="140" w:after="0"/>
        <w:ind w:left="2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 xml:space="preserve">Source: 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Adapted from Engler and Parry-Jones (2007) based on CITES annual report data compiled by UNEP-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WCMC.</w:t>
      </w:r>
    </w:p>
    <w:p>
      <w:pPr>
        <w:autoSpaceDN w:val="0"/>
        <w:autoSpaceDE w:val="0"/>
        <w:widowControl/>
        <w:spacing w:line="240" w:lineRule="auto" w:before="29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What is wildlife trade worth? </w:t>
      </w:r>
    </w:p>
    <w:p>
      <w:pPr>
        <w:autoSpaceDN w:val="0"/>
        <w:autoSpaceDE w:val="0"/>
        <w:widowControl/>
        <w:spacing w:line="320" w:lineRule="exact" w:before="318" w:after="286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Quantifying the value of wildlife trade is not easy—the use and trade of wild species is multi-faceted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encompasses many dimensions and scales: 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19"/>
        <w:gridCol w:w="3019"/>
        <w:gridCol w:w="3019"/>
      </w:tblGrid>
      <w:tr>
        <w:trPr>
          <w:trHeight w:hRule="exact" w:val="2792"/>
        </w:trPr>
        <w:tc>
          <w:tcPr>
            <w:tcW w:type="dxa" w:w="18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60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•</w:t>
            </w:r>
          </w:p>
          <w:p>
            <w:pPr>
              <w:autoSpaceDN w:val="0"/>
              <w:autoSpaceDE w:val="0"/>
              <w:widowControl/>
              <w:spacing w:line="294" w:lineRule="exact" w:before="66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•</w:t>
            </w:r>
          </w:p>
          <w:p>
            <w:pPr>
              <w:autoSpaceDN w:val="0"/>
              <w:autoSpaceDE w:val="0"/>
              <w:widowControl/>
              <w:spacing w:line="242" w:lineRule="auto" w:before="2166" w:after="0"/>
              <w:ind w:left="0" w:right="0" w:firstLine="0"/>
              <w:jc w:val="center"/>
            </w:pPr>
            <w:r>
              <w:rPr>
                <w:w w:val="97.50000238418579"/>
                <w:rFonts w:ascii="GillSansMT" w:hAnsi="GillSansMT" w:eastAsia="GillSansMT"/>
                <w:b w:val="0"/>
                <w:i w:val="0"/>
                <w:color w:val="919191"/>
                <w:sz w:val="16"/>
              </w:rPr>
              <w:t>6</w:t>
            </w:r>
          </w:p>
        </w:tc>
        <w:tc>
          <w:tcPr>
            <w:tcW w:type="dxa" w:w="5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20" w:lineRule="exact" w:before="34" w:after="0"/>
              <w:ind w:left="10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The majority of wild resources have low cash value and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are used for direct consumption rather than sale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(Wollenberg and Belcher, 2001; Belcher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et al.,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2007).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The dividing line between subsistence use of wildlife and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wildlife trade is often blurred (Burgess, 1992; Freese,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1998): wildlife and wildlife products are often consumed</w:t>
            </w:r>
          </w:p>
        </w:tc>
        <w:tc>
          <w:tcPr>
            <w:tcW w:type="dxa" w:w="3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3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42.00000000000045" w:type="dxa"/>
            </w:tblPr>
            <w:tblGrid>
              <w:gridCol w:w="3580"/>
            </w:tblGrid>
            <w:tr>
              <w:trPr>
                <w:trHeight w:hRule="exact" w:val="1940"/>
              </w:trPr>
              <w:tc>
                <w:tcPr>
                  <w:tcW w:type="dxa" w:w="3410"/>
                  <w:tcBorders>
                    <w:start w:sz="16.0" w:val="single" w:color="#222222"/>
                    <w:top w:sz="16.0" w:val="single" w:color="#222222"/>
                    <w:end w:sz="16.0" w:val="single" w:color="#222222"/>
                    <w:bottom w:sz="16.0" w:val="single" w:color="#222222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81" w:lineRule="auto" w:before="0" w:after="34"/>
                    <w:ind w:left="50" w:right="50" w:firstLine="0"/>
                    <w:jc w:val="both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"We do not go out to hunt </w:t>
                  </w: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wildlife, we just collect it when we </w:t>
                  </w: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>see it; all households do this".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-2.0000000000004547" w:type="dxa"/>
                  </w:tblPr>
                  <w:tblGrid>
                    <w:gridCol w:w="1137"/>
                    <w:gridCol w:w="1137"/>
                    <w:gridCol w:w="1137"/>
                  </w:tblGrid>
                  <w:tr>
                    <w:trPr>
                      <w:trHeight w:hRule="exact" w:val="320"/>
                    </w:trPr>
                    <w:tc>
                      <w:tcPr>
                        <w:tcW w:type="dxa" w:w="94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0" w:lineRule="auto" w:before="3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GillSansMT" w:hAnsi="GillSansMT" w:eastAsia="GillSansMT"/>
                            <w:b/>
                            <w:i/>
                            <w:color w:val="222222"/>
                            <w:sz w:val="22"/>
                          </w:rPr>
                          <w:t xml:space="preserve">Villager </w:t>
                        </w:r>
                      </w:p>
                    </w:tc>
                    <w:tc>
                      <w:tcPr>
                        <w:tcW w:type="dxa" w:w="72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0" w:lineRule="auto" w:before="3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GillSansMT" w:hAnsi="GillSansMT" w:eastAsia="GillSansMT"/>
                            <w:b/>
                            <w:i/>
                            <w:color w:val="222222"/>
                            <w:sz w:val="22"/>
                          </w:rPr>
                          <w:t xml:space="preserve">from </w:t>
                        </w:r>
                      </w:p>
                    </w:tc>
                    <w:tc>
                      <w:tcPr>
                        <w:tcW w:type="dxa" w:w="168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0" w:lineRule="auto" w:before="3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GillSansMT" w:hAnsi="GillSansMT" w:eastAsia="GillSansMT"/>
                            <w:b/>
                            <w:i/>
                            <w:color w:val="222222"/>
                            <w:sz w:val="22"/>
                          </w:rPr>
                          <w:t>Chham Thom,</w:t>
                        </w:r>
                      </w:p>
                    </w:tc>
                  </w:tr>
                </w:tbl>
                <w:p>
                  <w:pPr>
                    <w:autoSpaceDN w:val="0"/>
                    <w:autoSpaceDE w:val="0"/>
                    <w:widowControl/>
                    <w:spacing w:line="269" w:lineRule="auto" w:before="32" w:after="0"/>
                    <w:ind w:left="50" w:right="0" w:firstLine="0"/>
                    <w:jc w:val="left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Cambodia, cited in Singh </w:t>
                  </w:r>
                  <w:r>
                    <w:rPr>
                      <w:rFonts w:ascii="GillSansMT" w:hAnsi="GillSansMT" w:eastAsia="GillSansMT"/>
                      <w:b/>
                      <w:i w:val="0"/>
                      <w:color w:val="222222"/>
                      <w:sz w:val="22"/>
                    </w:rPr>
                    <w:t xml:space="preserve">et al., </w:t>
                  </w: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>2006b.</w:t>
                  </w:r>
                </w:p>
              </w:tc>
            </w:tr>
          </w:tbl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850"/>
        </w:trPr>
        <w:tc>
          <w:tcPr>
            <w:tcW w:type="dxa" w:w="3019"/>
            <w:vMerge/>
            <w:tcBorders/>
          </w:tcPr>
          <w:p/>
        </w:tc>
        <w:tc>
          <w:tcPr>
            <w:tcW w:type="dxa" w:w="886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auto" w:before="688" w:after="0"/>
              <w:ind w:left="0" w:right="144" w:firstLine="0"/>
              <w:jc w:val="right"/>
            </w:pPr>
            <w:r>
              <w:rPr>
                <w:w w:val="97.50000238418579"/>
                <w:rFonts w:ascii="GillSansMT" w:hAnsi="GillSansMT" w:eastAsia="GillSansMT"/>
                <w:b w:val="0"/>
                <w:i w:val="0"/>
                <w:color w:val="919191"/>
                <w:sz w:val="16"/>
              </w:rPr>
              <w:t>TRADING NATURE:Wildlife trade and the Millennium Development Goals</w:t>
            </w:r>
          </w:p>
        </w:tc>
      </w:tr>
    </w:tbl>
    <w:p>
      <w:pPr>
        <w:autoSpaceDN w:val="0"/>
        <w:autoSpaceDE w:val="0"/>
        <w:widowControl/>
        <w:spacing w:line="14" w:lineRule="exact" w:before="0" w:after="0"/>
        <w:ind w:left="0" w:right="0"/>
      </w:pPr>
    </w:p>
    <w:p>
      <w:pPr>
        <w:sectPr>
          <w:pgSz w:w="11713" w:h="16791"/>
          <w:pgMar w:top="720" w:right="1240" w:bottom="290" w:left="1416" w:header="720" w:footer="720" w:gutter="0"/>
          <w:cols w:space="720" w:num="1" w:equalWidth="0"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1036319</wp:posOffset>
            </wp:positionH>
            <wp:positionV relativeFrom="page">
              <wp:posOffset>6602730</wp:posOffset>
            </wp:positionV>
            <wp:extent cx="5427980" cy="2580515"/>
            <wp:wrapNone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27980" cy="258051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1028700</wp:posOffset>
            </wp:positionH>
            <wp:positionV relativeFrom="page">
              <wp:posOffset>6591300</wp:posOffset>
            </wp:positionV>
            <wp:extent cx="5448300" cy="2603500"/>
            <wp:wrapNone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26035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06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directly and sold in to the cash economy by the same people and in the same locations (Broad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2003).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may be sold and used locally, transported for sale in urban centres, sent across national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borders to markets in neighbouring countries or shipped half way around the world.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number and characteristics of actors involved in the trade vary with the species and product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involved and trade chains between harvester and end-consumer are often highly complex.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Most wildlife trade occurs within national borders; for example, in Brazil it was estimated that 70%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wild animals were sold within the country (van Andel, 2003).  The nature of such trade is that it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often carried out through informal networks and not documented or captured in government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statistics (Broad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, 2003).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Not all wildlife trade is legal, and therefore is not open to scrutiny, and some legal trade is not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subject to any official reporting requirements.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Comprehensive trade data only exist for species covered by CITES—and even here problems with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accuracy of CITES trade reporting mean that trade data are indicative rather than actual.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Customs data provide information on levels of processing and overall trade volumes, but rarely 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species or number of specimens involved.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Nevertheless, it is clear that wildlife trade is a major industry.  The value of legal, international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is estimated to be worth nearly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USD300 billion in 2005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, based on declared import values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Table 3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figure contrasts with a declared import value of EUR14 billion (USD17 billion) for the global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trade in coffee, tea and spices in 2005 (Engler and Parry-Jones, 2007).</w:t>
      </w:r>
    </w:p>
    <w:p>
      <w:pPr>
        <w:autoSpaceDN w:val="0"/>
        <w:autoSpaceDE w:val="0"/>
        <w:widowControl/>
        <w:spacing w:line="316" w:lineRule="exact" w:before="33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discernible trend also seems to be a steady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increase in value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Even without timber and fisheries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included, reported international trade in wildlife commodities has increased from “at least” USD5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billion per annum in the 1980s (Fitzgerald, 1989), to over USD15 billion in the early 1990s (Broad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2003), to over USD21 billion by 2005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Table 3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Figure 1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illustrates this trend for a number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key commodities. </w:t>
      </w:r>
    </w:p>
    <w:p>
      <w:pPr>
        <w:autoSpaceDN w:val="0"/>
        <w:autoSpaceDE w:val="0"/>
        <w:widowControl/>
        <w:spacing w:line="186" w:lineRule="exact" w:before="2460" w:after="0"/>
        <w:ind w:left="1756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14"/>
        </w:rPr>
        <w:t>Credit</w:t>
      </w:r>
      <w:r>
        <w:rPr>
          <w:rFonts w:ascii="TimesNewRomanPSMT" w:hAnsi="TimesNewRomanPSMT" w:eastAsia="TimesNewRomanPSMT"/>
          <w:b w:val="0"/>
          <w:i w:val="0"/>
          <w:color w:val="000000"/>
          <w:sz w:val="14"/>
        </w:rPr>
        <w:t>: WWF-Canon/Jürgen Freund</w:t>
      </w:r>
    </w:p>
    <w:p>
      <w:pPr>
        <w:autoSpaceDN w:val="0"/>
        <w:autoSpaceDE w:val="0"/>
        <w:widowControl/>
        <w:spacing w:line="240" w:lineRule="auto" w:before="50" w:after="0"/>
        <w:ind w:left="226" w:right="0" w:firstLine="0"/>
        <w:jc w:val="left"/>
      </w:pPr>
      <w:r>
        <w:rPr>
          <w:rFonts w:ascii="GillSansMT" w:hAnsi="GillSansMT" w:eastAsia="GillSansMT"/>
          <w:b/>
          <w:i w:val="0"/>
          <w:color w:val="A9A9A9"/>
          <w:sz w:val="20"/>
        </w:rPr>
        <w:t>Dried seahorses collected for medicine, Philippines</w:t>
      </w:r>
    </w:p>
    <w:p>
      <w:pPr>
        <w:autoSpaceDN w:val="0"/>
        <w:tabs>
          <w:tab w:pos="8822" w:val="left"/>
        </w:tabs>
        <w:autoSpaceDE w:val="0"/>
        <w:widowControl/>
        <w:spacing w:line="242" w:lineRule="auto" w:before="1292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7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1663700</wp:posOffset>
            </wp:positionV>
            <wp:extent cx="5753100" cy="5829300"/>
            <wp:wrapNone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8293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0" w:lineRule="auto" w:before="0" w:after="0"/>
        <w:ind w:left="4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Table 3</w:t>
      </w:r>
    </w:p>
    <w:p>
      <w:pPr>
        <w:autoSpaceDN w:val="0"/>
        <w:autoSpaceDE w:val="0"/>
        <w:widowControl/>
        <w:spacing w:line="240" w:lineRule="auto" w:before="386" w:after="0"/>
        <w:ind w:left="4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Estimate of the value of the international wildlife trade in 2005</w:t>
      </w:r>
    </w:p>
    <w:p>
      <w:pPr>
        <w:autoSpaceDN w:val="0"/>
        <w:tabs>
          <w:tab w:pos="5598" w:val="left"/>
        </w:tabs>
        <w:autoSpaceDE w:val="0"/>
        <w:widowControl/>
        <w:spacing w:line="304" w:lineRule="exact" w:before="298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Commodity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Estimated value in 2005 (USD)</w:t>
      </w:r>
    </w:p>
    <w:p>
      <w:pPr>
        <w:autoSpaceDN w:val="0"/>
        <w:autoSpaceDE w:val="0"/>
        <w:widowControl/>
        <w:spacing w:line="304" w:lineRule="exact" w:before="336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Live animals</w:t>
      </w:r>
    </w:p>
    <w:p>
      <w:pPr>
        <w:autoSpaceDN w:val="0"/>
        <w:tabs>
          <w:tab w:pos="7590" w:val="left"/>
        </w:tabs>
        <w:autoSpaceDE w:val="0"/>
        <w:widowControl/>
        <w:spacing w:line="294" w:lineRule="exact" w:before="14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Primates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94 million </w:t>
      </w:r>
    </w:p>
    <w:p>
      <w:pPr>
        <w:autoSpaceDN w:val="0"/>
        <w:tabs>
          <w:tab w:pos="7590" w:val="left"/>
        </w:tabs>
        <w:autoSpaceDE w:val="0"/>
        <w:widowControl/>
        <w:spacing w:line="294" w:lineRule="exact" w:before="26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Cage birds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47 million</w:t>
      </w:r>
    </w:p>
    <w:p>
      <w:pPr>
        <w:autoSpaceDN w:val="0"/>
        <w:tabs>
          <w:tab w:pos="7700" w:val="left"/>
        </w:tabs>
        <w:autoSpaceDE w:val="0"/>
        <w:widowControl/>
        <w:spacing w:line="292" w:lineRule="exact" w:before="26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Birds of prey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6 million</w:t>
      </w:r>
    </w:p>
    <w:p>
      <w:pPr>
        <w:autoSpaceDN w:val="0"/>
        <w:tabs>
          <w:tab w:pos="7590" w:val="left"/>
        </w:tabs>
        <w:autoSpaceDE w:val="0"/>
        <w:widowControl/>
        <w:spacing w:line="292" w:lineRule="exact" w:before="28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Reptiles and amphibians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38 million</w:t>
      </w:r>
    </w:p>
    <w:p>
      <w:pPr>
        <w:autoSpaceDN w:val="0"/>
        <w:tabs>
          <w:tab w:pos="7480" w:val="left"/>
        </w:tabs>
        <w:autoSpaceDE w:val="0"/>
        <w:widowControl/>
        <w:spacing w:line="292" w:lineRule="exact" w:before="28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Ornamental fish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319 million</w:t>
      </w:r>
    </w:p>
    <w:p>
      <w:pPr>
        <w:autoSpaceDN w:val="0"/>
        <w:autoSpaceDE w:val="0"/>
        <w:widowControl/>
        <w:spacing w:line="304" w:lineRule="exact" w:before="350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Animal products for clothing/ornaments etc.</w:t>
      </w:r>
    </w:p>
    <w:p>
      <w:pPr>
        <w:autoSpaceDN w:val="0"/>
        <w:tabs>
          <w:tab w:pos="7760" w:val="left"/>
        </w:tabs>
        <w:autoSpaceDE w:val="0"/>
        <w:widowControl/>
        <w:spacing w:line="292" w:lineRule="exact" w:before="14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Mammal furs and fur products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5 billion</w:t>
      </w:r>
    </w:p>
    <w:p>
      <w:pPr>
        <w:autoSpaceDN w:val="0"/>
        <w:tabs>
          <w:tab w:pos="7480" w:val="left"/>
        </w:tabs>
        <w:autoSpaceDE w:val="0"/>
        <w:widowControl/>
        <w:spacing w:line="292" w:lineRule="exact" w:before="28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Reptile skins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338 million</w:t>
      </w:r>
    </w:p>
    <w:p>
      <w:pPr>
        <w:autoSpaceDN w:val="0"/>
        <w:tabs>
          <w:tab w:pos="7488" w:val="left"/>
        </w:tabs>
        <w:autoSpaceDE w:val="0"/>
        <w:widowControl/>
        <w:spacing w:line="292" w:lineRule="exact" w:before="28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Ornamental corals and shells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112 million</w:t>
      </w:r>
    </w:p>
    <w:p>
      <w:pPr>
        <w:autoSpaceDN w:val="0"/>
        <w:tabs>
          <w:tab w:pos="7590" w:val="left"/>
        </w:tabs>
        <w:autoSpaceDE w:val="0"/>
        <w:widowControl/>
        <w:spacing w:line="292" w:lineRule="exact" w:before="28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Natural pearls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80 million</w:t>
      </w:r>
    </w:p>
    <w:p>
      <w:pPr>
        <w:autoSpaceDN w:val="0"/>
        <w:autoSpaceDE w:val="0"/>
        <w:widowControl/>
        <w:spacing w:line="304" w:lineRule="exact" w:before="350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Animal products for food (excluding fish)</w:t>
      </w:r>
    </w:p>
    <w:p>
      <w:pPr>
        <w:autoSpaceDN w:val="0"/>
        <w:tabs>
          <w:tab w:pos="7480" w:val="left"/>
        </w:tabs>
        <w:autoSpaceDE w:val="0"/>
        <w:widowControl/>
        <w:spacing w:line="292" w:lineRule="exact" w:before="14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Game meat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773 million</w:t>
      </w:r>
    </w:p>
    <w:p>
      <w:pPr>
        <w:autoSpaceDN w:val="0"/>
        <w:tabs>
          <w:tab w:pos="7590" w:val="left"/>
        </w:tabs>
        <w:autoSpaceDE w:val="0"/>
        <w:widowControl/>
        <w:spacing w:line="292" w:lineRule="exact" w:before="28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Frogs legs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50 million</w:t>
      </w:r>
    </w:p>
    <w:p>
      <w:pPr>
        <w:autoSpaceDN w:val="0"/>
        <w:tabs>
          <w:tab w:pos="7590" w:val="left"/>
        </w:tabs>
        <w:autoSpaceDE w:val="0"/>
        <w:widowControl/>
        <w:spacing w:line="292" w:lineRule="exact" w:before="28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Edible snails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75 million</w:t>
      </w:r>
    </w:p>
    <w:p>
      <w:pPr>
        <w:autoSpaceDN w:val="0"/>
        <w:autoSpaceDE w:val="0"/>
        <w:widowControl/>
        <w:spacing w:line="304" w:lineRule="exact" w:before="350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Plants</w:t>
      </w:r>
    </w:p>
    <w:p>
      <w:pPr>
        <w:autoSpaceDN w:val="0"/>
        <w:tabs>
          <w:tab w:pos="7596" w:val="left"/>
        </w:tabs>
        <w:autoSpaceDE w:val="0"/>
        <w:widowControl/>
        <w:spacing w:line="292" w:lineRule="exact" w:before="14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Medicinal plants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1.3 billion</w:t>
      </w:r>
    </w:p>
    <w:p>
      <w:pPr>
        <w:autoSpaceDN w:val="0"/>
        <w:tabs>
          <w:tab w:pos="7650" w:val="left"/>
        </w:tabs>
        <w:autoSpaceDE w:val="0"/>
        <w:widowControl/>
        <w:spacing w:line="292" w:lineRule="exact" w:before="28" w:after="0"/>
        <w:ind w:left="6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Ornamental plants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13 billion</w:t>
      </w:r>
    </w:p>
    <w:p>
      <w:pPr>
        <w:autoSpaceDN w:val="0"/>
        <w:tabs>
          <w:tab w:pos="7460" w:val="left"/>
        </w:tabs>
        <w:autoSpaceDE w:val="0"/>
        <w:widowControl/>
        <w:spacing w:line="304" w:lineRule="exact" w:before="30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TOTAL (not including fisheries and timber)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21.2 billion</w:t>
      </w:r>
    </w:p>
    <w:p>
      <w:pPr>
        <w:autoSpaceDN w:val="0"/>
        <w:tabs>
          <w:tab w:pos="7486" w:val="left"/>
        </w:tabs>
        <w:autoSpaceDE w:val="0"/>
        <w:widowControl/>
        <w:spacing w:line="306" w:lineRule="exact" w:before="332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Wild fisheries*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81.5 billion</w:t>
      </w:r>
    </w:p>
    <w:p>
      <w:pPr>
        <w:autoSpaceDN w:val="0"/>
        <w:tabs>
          <w:tab w:pos="7540" w:val="left"/>
        </w:tabs>
        <w:autoSpaceDE w:val="0"/>
        <w:widowControl/>
        <w:spacing w:line="306" w:lineRule="exact" w:before="12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Timber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190 billion</w:t>
      </w:r>
    </w:p>
    <w:p>
      <w:pPr>
        <w:autoSpaceDN w:val="0"/>
        <w:tabs>
          <w:tab w:pos="7350" w:val="left"/>
        </w:tabs>
        <w:autoSpaceDE w:val="0"/>
        <w:widowControl/>
        <w:spacing w:line="304" w:lineRule="exact" w:before="16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TOTAL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292.7 billion</w:t>
      </w:r>
    </w:p>
    <w:p>
      <w:pPr>
        <w:autoSpaceDN w:val="0"/>
        <w:autoSpaceDE w:val="0"/>
        <w:widowControl/>
        <w:spacing w:line="268" w:lineRule="exact" w:before="284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 xml:space="preserve">Source: 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Engler (in prep.), based on UN Statistics Division Commodity Trade Statistics Database except * from</w:t>
      </w:r>
    </w:p>
    <w:p>
      <w:pPr>
        <w:autoSpaceDN w:val="0"/>
        <w:autoSpaceDE w:val="0"/>
        <w:widowControl/>
        <w:spacing w:line="268" w:lineRule="exact" w:before="32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FAO Fisheries Statistics</w:t>
      </w:r>
    </w:p>
    <w:p>
      <w:pPr>
        <w:autoSpaceDN w:val="0"/>
        <w:tabs>
          <w:tab w:pos="4070" w:val="left"/>
        </w:tabs>
        <w:autoSpaceDE w:val="0"/>
        <w:widowControl/>
        <w:spacing w:line="242" w:lineRule="auto" w:before="3598" w:after="0"/>
        <w:ind w:left="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8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720" w:right="1270" w:bottom="290" w:left="1436" w:header="720" w:footer="720" w:gutter="0"/>
          <w:cols w:space="720" w:num="1" w:equalWidth="0"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8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939800</wp:posOffset>
            </wp:positionH>
            <wp:positionV relativeFrom="page">
              <wp:posOffset>1854200</wp:posOffset>
            </wp:positionV>
            <wp:extent cx="4826000" cy="2336800"/>
            <wp:wrapNone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23368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0" w:lineRule="auto" w:before="0" w:after="0"/>
        <w:ind w:left="2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Figure 1</w:t>
      </w:r>
    </w:p>
    <w:p>
      <w:pPr>
        <w:autoSpaceDN w:val="0"/>
        <w:autoSpaceDE w:val="0"/>
        <w:widowControl/>
        <w:spacing w:line="240" w:lineRule="auto" w:before="386" w:after="0"/>
        <w:ind w:left="0" w:right="0" w:firstLine="0"/>
        <w:jc w:val="center"/>
      </w:pPr>
      <w:r>
        <w:rPr>
          <w:rFonts w:ascii="GillSansMT" w:hAnsi="GillSansMT" w:eastAsia="GillSansMT"/>
          <w:b/>
          <w:i w:val="0"/>
          <w:color w:val="000000"/>
          <w:sz w:val="22"/>
        </w:rPr>
        <w:t>Changes in the value of the reported international trade in major wild resources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</w:p>
    <w:p>
      <w:pPr>
        <w:autoSpaceDN w:val="0"/>
        <w:autoSpaceDE w:val="0"/>
        <w:widowControl/>
        <w:spacing w:line="240" w:lineRule="auto" w:before="66" w:after="0"/>
        <w:ind w:left="2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1995–2005</w:t>
      </w:r>
    </w:p>
    <w:p>
      <w:pPr>
        <w:autoSpaceDN w:val="0"/>
        <w:autoSpaceDE w:val="0"/>
        <w:widowControl/>
        <w:spacing w:line="228" w:lineRule="exact" w:before="500" w:after="72"/>
        <w:ind w:left="586" w:right="0" w:firstLine="0"/>
        <w:jc w:val="left"/>
      </w:pPr>
      <w:r>
        <w:rPr>
          <w:w w:val="103.125"/>
          <w:rFonts w:ascii="ArialMT" w:hAnsi="ArialMT" w:eastAsia="ArialMT"/>
          <w:b w:val="0"/>
          <w:i w:val="0"/>
          <w:color w:val="000000"/>
          <w:sz w:val="16"/>
        </w:rPr>
        <w:t>2500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124.00000000000006" w:type="dxa"/>
      </w:tblPr>
      <w:tblGrid>
        <w:gridCol w:w="754"/>
        <w:gridCol w:w="754"/>
        <w:gridCol w:w="754"/>
        <w:gridCol w:w="754"/>
        <w:gridCol w:w="754"/>
        <w:gridCol w:w="754"/>
        <w:gridCol w:w="754"/>
        <w:gridCol w:w="754"/>
        <w:gridCol w:w="754"/>
        <w:gridCol w:w="754"/>
        <w:gridCol w:w="754"/>
        <w:gridCol w:w="754"/>
      </w:tblGrid>
      <w:tr>
        <w:trPr>
          <w:trHeight w:hRule="exact" w:val="344"/>
        </w:trPr>
        <w:tc>
          <w:tcPr>
            <w:tcW w:type="dxa" w:w="42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50" w:after="0"/>
              <w:ind w:left="0" w:right="236" w:firstLine="0"/>
              <w:jc w:val="right"/>
            </w:pPr>
            <w:r>
              <w:rPr>
                <w:w w:val="103.125"/>
                <w:rFonts w:ascii="Arial" w:hAnsi="Arial" w:eastAsia="Arial"/>
                <w:b/>
                <w:i w:val="0"/>
                <w:color w:val="000000"/>
                <w:sz w:val="16"/>
              </w:rPr>
              <w:t xml:space="preserve">US$ millions </w:t>
            </w:r>
            <w:r>
              <w:rPr>
                <w:rFonts w:ascii="Arial" w:hAnsi="Arial" w:eastAsia="Arial"/>
                <w:b/>
                <w:i w:val="0"/>
                <w:color w:val="000000"/>
                <w:sz w:val="14"/>
              </w:rPr>
              <w:t>USD</w:t>
            </w:r>
          </w:p>
        </w:tc>
        <w:tc>
          <w:tcPr>
            <w:tcW w:type="dxa" w:w="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0" w:after="0"/>
              <w:ind w:left="0" w:right="0" w:firstLine="0"/>
              <w:jc w:val="center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2000</w:t>
            </w:r>
          </w:p>
        </w:tc>
        <w:tc>
          <w:tcPr>
            <w:tcW w:type="dxa" w:w="76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672" w:val="left"/>
                <w:tab w:pos="770" w:val="left"/>
              </w:tabs>
              <w:autoSpaceDE w:val="0"/>
              <w:widowControl/>
              <w:spacing w:line="288" w:lineRule="exact" w:before="0" w:after="0"/>
              <w:ind w:left="402" w:right="1584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 xml:space="preserve">Plants used </w:t>
            </w:r>
            <w:r>
              <w:br/>
            </w: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 xml:space="preserve">in </w:t>
            </w:r>
            <w:r>
              <w:tab/>
            </w: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 xml:space="preserve">pharmacy </w:t>
            </w: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>Plants used in</w:t>
            </w:r>
          </w:p>
          <w:p>
            <w:pPr>
              <w:autoSpaceDN w:val="0"/>
              <w:autoSpaceDE w:val="0"/>
              <w:widowControl/>
              <w:spacing w:line="226" w:lineRule="exact" w:before="0" w:after="0"/>
              <w:ind w:left="454" w:right="0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pharmacy,</w:t>
            </w:r>
          </w:p>
        </w:tc>
        <w:tc>
          <w:tcPr>
            <w:tcW w:type="dxa" w:w="42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44" w:after="0"/>
              <w:ind w:left="0" w:right="1700" w:firstLine="0"/>
              <w:jc w:val="right"/>
            </w:pP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 xml:space="preserve">Nuts </w:t>
            </w: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Nuts</w:t>
            </w:r>
          </w:p>
        </w:tc>
        <w:tc>
          <w:tcPr>
            <w:tcW w:type="dxa" w:w="68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58" w:after="0"/>
              <w:ind w:left="466" w:right="0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 xml:space="preserve">Essential </w:t>
            </w: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>Essential oils</w:t>
            </w:r>
          </w:p>
          <w:p>
            <w:pPr>
              <w:autoSpaceDN w:val="0"/>
              <w:autoSpaceDE w:val="0"/>
              <w:widowControl/>
              <w:spacing w:line="228" w:lineRule="exact" w:before="0" w:after="0"/>
              <w:ind w:left="0" w:right="1940" w:firstLine="0"/>
              <w:jc w:val="righ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oils</w:t>
            </w:r>
          </w:p>
        </w:tc>
        <w:tc>
          <w:tcPr>
            <w:tcW w:type="dxa" w:w="46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8" w:lineRule="exact" w:before="78" w:after="0"/>
              <w:ind w:left="0" w:right="1700" w:firstLine="0"/>
              <w:jc w:val="right"/>
            </w:pP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 xml:space="preserve">Cork </w:t>
            </w: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Cork</w:t>
            </w:r>
          </w:p>
        </w:tc>
        <w:tc>
          <w:tcPr>
            <w:tcW w:type="dxa" w:w="126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34" w:lineRule="exact" w:before="1594" w:after="0"/>
              <w:ind w:left="144" w:right="1700" w:firstLine="0"/>
              <w:jc w:val="righ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 xml:space="preserve">Natural </w:t>
            </w:r>
            <w:r>
              <w:br/>
            </w: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 xml:space="preserve">Natural honey </w:t>
            </w: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 xml:space="preserve">Gums and </w:t>
            </w:r>
            <w:r>
              <w:br/>
            </w: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 xml:space="preserve">Gums and resins </w:t>
            </w: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honey</w:t>
            </w:r>
          </w:p>
          <w:p>
            <w:pPr>
              <w:autoSpaceDN w:val="0"/>
              <w:autoSpaceDE w:val="0"/>
              <w:widowControl/>
              <w:spacing w:line="228" w:lineRule="exact" w:before="0" w:after="0"/>
              <w:ind w:left="664" w:right="0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resins</w:t>
            </w:r>
          </w:p>
          <w:p>
            <w:pPr>
              <w:autoSpaceDN w:val="0"/>
              <w:autoSpaceDE w:val="0"/>
              <w:widowControl/>
              <w:spacing w:line="226" w:lineRule="exact" w:before="378" w:after="0"/>
              <w:ind w:left="0" w:right="0" w:firstLine="0"/>
              <w:jc w:val="center"/>
            </w:pPr>
            <w:r>
              <w:rPr>
                <w:w w:val="103.125"/>
                <w:rFonts w:ascii="Arial" w:hAnsi="Arial" w:eastAsia="Arial"/>
                <w:b/>
                <w:i w:val="0"/>
                <w:color w:val="000000"/>
                <w:sz w:val="16"/>
              </w:rPr>
              <w:t>Product</w:t>
            </w:r>
          </w:p>
        </w:tc>
        <w:tc>
          <w:tcPr>
            <w:tcW w:type="dxa" w:w="52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4" w:after="0"/>
              <w:ind w:left="364" w:right="0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Live animals</w:t>
            </w:r>
          </w:p>
        </w:tc>
        <w:tc>
          <w:tcPr>
            <w:tcW w:type="dxa" w:w="52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4" w:lineRule="exact" w:before="142" w:after="0"/>
              <w:ind w:left="0" w:right="1700" w:firstLine="0"/>
              <w:jc w:val="right"/>
            </w:pP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 xml:space="preserve">Spices </w:t>
            </w: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Spices</w:t>
            </w:r>
          </w:p>
        </w:tc>
        <w:tc>
          <w:tcPr>
            <w:tcW w:type="dxa" w:w="66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8" w:lineRule="exact" w:before="48" w:after="0"/>
              <w:ind w:left="90" w:right="0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 xml:space="preserve">Bamboo and </w:t>
            </w: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>Bamboo and rattan</w:t>
            </w:r>
          </w:p>
          <w:p>
            <w:pPr>
              <w:autoSpaceDN w:val="0"/>
              <w:autoSpaceDE w:val="0"/>
              <w:widowControl/>
              <w:spacing w:line="226" w:lineRule="exact" w:before="0" w:after="0"/>
              <w:ind w:left="590" w:right="0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rattan</w:t>
            </w:r>
          </w:p>
        </w:tc>
        <w:tc>
          <w:tcPr>
            <w:tcW w:type="dxa" w:w="64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4" w:lineRule="exact" w:before="22" w:after="0"/>
              <w:ind w:left="0" w:right="1700" w:firstLine="0"/>
              <w:jc w:val="right"/>
            </w:pPr>
            <w:r>
              <w:rPr>
                <w:rFonts w:ascii="ArialMT" w:hAnsi="ArialMT" w:eastAsia="ArialMT"/>
                <w:b w:val="0"/>
                <w:i w:val="0"/>
                <w:color w:val="000000"/>
                <w:sz w:val="14"/>
              </w:rPr>
              <w:t xml:space="preserve">Ivory </w:t>
            </w: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Ivory</w:t>
            </w:r>
          </w:p>
        </w:tc>
        <w:tc>
          <w:tcPr>
            <w:tcW w:type="dxa" w:w="14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66" w:after="0"/>
              <w:ind w:left="286" w:right="0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1995</w:t>
            </w:r>
          </w:p>
        </w:tc>
      </w:tr>
      <w:tr>
        <w:trPr>
          <w:trHeight w:hRule="exact" w:val="360"/>
        </w:trPr>
        <w:tc>
          <w:tcPr>
            <w:tcW w:type="dxa" w:w="754"/>
            <w:vMerge/>
            <w:tcBorders/>
          </w:tcPr>
          <w:p/>
        </w:tc>
        <w:tc>
          <w:tcPr>
            <w:tcW w:type="dxa" w:w="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76" w:after="0"/>
              <w:ind w:left="0" w:right="0" w:firstLine="0"/>
              <w:jc w:val="center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1500</w:t>
            </w:r>
          </w:p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</w:tr>
      <w:tr>
        <w:trPr>
          <w:trHeight w:hRule="exact" w:val="360"/>
        </w:trPr>
        <w:tc>
          <w:tcPr>
            <w:tcW w:type="dxa" w:w="754"/>
            <w:vMerge/>
            <w:tcBorders/>
          </w:tcPr>
          <w:p/>
        </w:tc>
        <w:tc>
          <w:tcPr>
            <w:tcW w:type="dxa" w:w="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76" w:after="0"/>
              <w:ind w:left="0" w:right="0" w:firstLine="0"/>
              <w:jc w:val="center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1000</w:t>
            </w:r>
          </w:p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14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46" w:after="0"/>
              <w:ind w:left="286" w:right="0" w:firstLine="0"/>
              <w:jc w:val="lef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2005</w:t>
            </w:r>
          </w:p>
        </w:tc>
      </w:tr>
      <w:tr>
        <w:trPr>
          <w:trHeight w:hRule="exact" w:val="360"/>
        </w:trPr>
        <w:tc>
          <w:tcPr>
            <w:tcW w:type="dxa" w:w="754"/>
            <w:vMerge/>
            <w:tcBorders/>
          </w:tcPr>
          <w:p/>
        </w:tc>
        <w:tc>
          <w:tcPr>
            <w:tcW w:type="dxa" w:w="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76" w:after="0"/>
              <w:ind w:left="0" w:right="16" w:firstLine="0"/>
              <w:jc w:val="righ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500</w:t>
            </w:r>
          </w:p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</w:tr>
      <w:tr>
        <w:trPr>
          <w:trHeight w:hRule="exact" w:val="1564"/>
        </w:trPr>
        <w:tc>
          <w:tcPr>
            <w:tcW w:type="dxa" w:w="754"/>
            <w:vMerge/>
            <w:tcBorders/>
          </w:tcPr>
          <w:p/>
        </w:tc>
        <w:tc>
          <w:tcPr>
            <w:tcW w:type="dxa" w:w="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76" w:after="0"/>
              <w:ind w:left="0" w:right="16" w:firstLine="0"/>
              <w:jc w:val="right"/>
            </w:pPr>
            <w:r>
              <w:rPr>
                <w:w w:val="103.125"/>
                <w:rFonts w:ascii="ArialMT" w:hAnsi="ArialMT" w:eastAsia="ArialMT"/>
                <w:b w:val="0"/>
                <w:i w:val="0"/>
                <w:color w:val="000000"/>
                <w:sz w:val="16"/>
              </w:rPr>
              <w:t>0</w:t>
            </w:r>
          </w:p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  <w:tc>
          <w:tcPr>
            <w:tcW w:type="dxa" w:w="754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300" w:lineRule="exact" w:before="330" w:after="0"/>
        <w:ind w:left="2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 xml:space="preserve">Source: 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 xml:space="preserve">2005 data from Engler (in prep.), based on UN Statistics Division Commodity Trade Statistics Database; 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1995 data from Iqbal (1995).</w:t>
      </w:r>
    </w:p>
    <w:p>
      <w:pPr>
        <w:autoSpaceDN w:val="0"/>
        <w:autoSpaceDE w:val="0"/>
        <w:widowControl/>
        <w:spacing w:line="240" w:lineRule="auto" w:before="294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What relevance does wildlife trade have to the MDGs?</w:t>
      </w:r>
    </w:p>
    <w:p>
      <w:pPr>
        <w:autoSpaceDN w:val="0"/>
        <w:autoSpaceDE w:val="0"/>
        <w:widowControl/>
        <w:spacing w:line="324" w:lineRule="exact" w:before="314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MDGs provide the overarching policy framework for international poverty reduction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development assistance efforts.  They focus on key development concerns including income poverty,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hunger, child and maternal health, universal primary education, and access to safe water and sanitation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Table 4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</w:t>
      </w:r>
    </w:p>
    <w:p>
      <w:pPr>
        <w:autoSpaceDN w:val="0"/>
        <w:autoSpaceDE w:val="0"/>
        <w:widowControl/>
        <w:spacing w:line="320" w:lineRule="exact" w:before="30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Even at the time of their formulation, the MDGs were not new ambitions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they are largely a consoli-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dation of commitments made at various UN conferences since the pivotal UN Conference on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Human Environment held in Stockholm in 1972 (Satterthwaite, 2003).  What is unusual about them,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however, is the unprecedented level of commitment from national and international agencies and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public, private and civil society sectors.  As a result, any efforts to address poverty reduction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human development must be set within the context of the MDGs in order to ensure their relevance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global effort. </w:t>
      </w:r>
    </w:p>
    <w:p>
      <w:pPr>
        <w:autoSpaceDN w:val="0"/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consideration of the potential of wildlife trade is relevant to discussions concerning the delivery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MDGs for a number of reasons: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1. As noted above, wildlife trade is big business and a significant portion of this value is captured by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poor countries and by poor people;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2. Conversely, unsustainable, poorly-managed wildlife trade can contribute to biodiversity loss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undermine the subsistence base of many poor people’s livelihoods. </w:t>
      </w:r>
    </w:p>
    <w:p>
      <w:pPr>
        <w:autoSpaceDN w:val="0"/>
        <w:tabs>
          <w:tab w:pos="8822" w:val="left"/>
        </w:tabs>
        <w:autoSpaceDE w:val="0"/>
        <w:widowControl/>
        <w:spacing w:line="242" w:lineRule="auto" w:before="135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9</w:t>
      </w:r>
    </w:p>
    <w:p>
      <w:pPr>
        <w:sectPr>
          <w:pgSz w:w="11713" w:h="16791"/>
          <w:pgMar w:top="700" w:right="1248" w:bottom="290" w:left="1416" w:header="720" w:footer="720" w:gutter="0"/>
          <w:cols w:space="720" w:num="1" w:equalWidth="0"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1663700</wp:posOffset>
            </wp:positionV>
            <wp:extent cx="5753100" cy="6896100"/>
            <wp:wrapNone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896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0" w:lineRule="auto" w:before="0" w:after="0"/>
        <w:ind w:left="4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Table 4</w:t>
      </w:r>
    </w:p>
    <w:p>
      <w:pPr>
        <w:autoSpaceDN w:val="0"/>
        <w:autoSpaceDE w:val="0"/>
        <w:widowControl/>
        <w:spacing w:line="240" w:lineRule="auto" w:before="386" w:after="0"/>
        <w:ind w:left="4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A summary of the Millennium Development Goals and Targets</w:t>
      </w:r>
    </w:p>
    <w:p>
      <w:pPr>
        <w:autoSpaceDN w:val="0"/>
        <w:tabs>
          <w:tab w:pos="3282" w:val="left"/>
        </w:tabs>
        <w:autoSpaceDE w:val="0"/>
        <w:widowControl/>
        <w:spacing w:line="220" w:lineRule="exact" w:before="308" w:after="298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 xml:space="preserve">Goal 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16"/>
        </w:rPr>
        <w:t>Targets</w:t>
      </w:r>
    </w:p>
    <w:p>
      <w:pPr>
        <w:sectPr>
          <w:pgSz w:w="11713" w:h="16791"/>
          <w:pgMar w:top="720" w:right="1320" w:bottom="290" w:left="1436" w:header="720" w:footer="720" w:gutter="0"/>
          <w:cols w:space="720" w:num="1" w:equalWidth="0"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2" w:lineRule="exact" w:before="0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1.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Eradicate extreme poverty and hunger</w:t>
      </w:r>
    </w:p>
    <w:p>
      <w:pPr>
        <w:sectPr>
          <w:type w:val="continuous"/>
          <w:pgSz w:w="11713" w:h="16791"/>
          <w:pgMar w:top="720" w:right="1320" w:bottom="290" w:left="1436" w:header="720" w:footer="720" w:gutter="0"/>
          <w:cols w:space="720" w:num="2" w:equalWidth="0"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32" w:lineRule="exact" w:before="0" w:after="506"/>
        <w:ind w:left="144" w:right="20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Reduce by half the proportion of people living on less than a dollar a day; (</w:t>
      </w:r>
      <w:r>
        <w:rPr>
          <w:rFonts w:ascii="TimesNewRomanPS" w:hAnsi="TimesNewRomanPS" w:eastAsia="TimesNewRomanPS"/>
          <w:b w:val="0"/>
          <w:i/>
          <w:color w:val="000000"/>
          <w:sz w:val="16"/>
        </w:rPr>
        <w:t xml:space="preserve">achieve full </w:t>
      </w:r>
      <w:r>
        <w:rPr>
          <w:rFonts w:ascii="TimesNewRomanPS" w:hAnsi="TimesNewRomanPS" w:eastAsia="TimesNewRomanPS"/>
          <w:b w:val="0"/>
          <w:i/>
          <w:color w:val="000000"/>
          <w:sz w:val="16"/>
        </w:rPr>
        <w:t>and productive employment and decent work for all, including women and young people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) </w:t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2.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Reduce by half the proportion of people who suffer from hunger</w:t>
      </w:r>
    </w:p>
    <w:p>
      <w:pPr>
        <w:sectPr>
          <w:type w:val="nextColumn"/>
          <w:pgSz w:w="11713" w:h="16791"/>
          <w:pgMar w:top="720" w:right="1320" w:bottom="290" w:left="1436" w:header="720" w:footer="720" w:gutter="0"/>
          <w:cols w:space="720" w:num="2" w:equalWidth="0"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3282" w:val="left"/>
        </w:tabs>
        <w:autoSpaceDE w:val="0"/>
        <w:widowControl/>
        <w:spacing w:line="222" w:lineRule="exact" w:before="0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2.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Achieve universal primary education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3.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Ensure that all boys and girls complete a full course of primary schooling</w:t>
      </w:r>
    </w:p>
    <w:p>
      <w:pPr>
        <w:autoSpaceDN w:val="0"/>
        <w:tabs>
          <w:tab w:pos="3282" w:val="left"/>
        </w:tabs>
        <w:autoSpaceDE w:val="0"/>
        <w:widowControl/>
        <w:spacing w:line="222" w:lineRule="exact" w:before="498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3.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Promote gender equality and empower women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 xml:space="preserve">4.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Eliminate gender disparity in primary and secondary education</w:t>
      </w:r>
    </w:p>
    <w:p>
      <w:pPr>
        <w:autoSpaceDN w:val="0"/>
        <w:tabs>
          <w:tab w:pos="3282" w:val="left"/>
        </w:tabs>
        <w:autoSpaceDE w:val="0"/>
        <w:widowControl/>
        <w:spacing w:line="222" w:lineRule="exact" w:before="498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4.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Reduce child mortality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5.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Reduce by two thirds the mortality rate among children under five</w:t>
      </w:r>
    </w:p>
    <w:p>
      <w:pPr>
        <w:autoSpaceDN w:val="0"/>
        <w:tabs>
          <w:tab w:pos="3282" w:val="left"/>
        </w:tabs>
        <w:autoSpaceDE w:val="0"/>
        <w:widowControl/>
        <w:spacing w:line="222" w:lineRule="exact" w:before="498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5.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Improve maternal health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6.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Reduce by three quarters the maternal mortality ratio; (</w:t>
      </w:r>
      <w:r>
        <w:rPr>
          <w:rFonts w:ascii="TimesNewRomanPS" w:hAnsi="TimesNewRomanPS" w:eastAsia="TimesNewRomanPS"/>
          <w:b w:val="0"/>
          <w:i/>
          <w:color w:val="000000"/>
          <w:sz w:val="16"/>
        </w:rPr>
        <w:t xml:space="preserve">achieve, by 2015, universal </w:t>
      </w:r>
    </w:p>
    <w:p>
      <w:pPr>
        <w:autoSpaceDN w:val="0"/>
        <w:autoSpaceDE w:val="0"/>
        <w:widowControl/>
        <w:spacing w:line="196" w:lineRule="exact" w:before="34" w:after="508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16"/>
        </w:rPr>
        <w:t>access to reproductive health)</w:t>
      </w:r>
    </w:p>
    <w:p>
      <w:pPr>
        <w:sectPr>
          <w:type w:val="continuous"/>
          <w:pgSz w:w="11713" w:h="16791"/>
          <w:pgMar w:top="720" w:right="1320" w:bottom="290" w:left="1436" w:header="720" w:footer="720" w:gutter="0"/>
          <w:cols w:space="720" w:num="1" w:equalWidth="0"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2" w:lineRule="exact" w:before="0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6.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Combat HIV/AIDs, malaria and other diseases</w:t>
      </w:r>
    </w:p>
    <w:p>
      <w:pPr>
        <w:sectPr>
          <w:type w:val="continuous"/>
          <w:pgSz w:w="11713" w:h="16791"/>
          <w:pgMar w:top="720" w:right="1320" w:bottom="290" w:left="1436" w:header="720" w:footer="720" w:gutter="0"/>
          <w:cols w:space="720" w:num="2" w:equalWidth="0"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334" w:val="left"/>
        </w:tabs>
        <w:autoSpaceDE w:val="0"/>
        <w:widowControl/>
        <w:spacing w:line="232" w:lineRule="exact" w:before="0" w:after="506"/>
        <w:ind w:left="130" w:right="288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7.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Halt and begin to reverse the spread of HIV/AIDS; (</w:t>
      </w:r>
      <w:r>
        <w:rPr>
          <w:rFonts w:ascii="TimesNewRomanPS" w:hAnsi="TimesNewRomanPS" w:eastAsia="TimesNewRomanPS"/>
          <w:b w:val="0"/>
          <w:i/>
          <w:color w:val="000000"/>
          <w:sz w:val="16"/>
        </w:rPr>
        <w:t xml:space="preserve">achieve, by 2010, universal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16"/>
        </w:rPr>
        <w:t>access to treatment for HIV/AIDS for all those who need it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) </w:t>
      </w:r>
      <w:r>
        <w:br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8.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Halt and begin to reverse the incidence of malaria and other major diseases</w:t>
      </w:r>
    </w:p>
    <w:p>
      <w:pPr>
        <w:sectPr>
          <w:type w:val="nextColumn"/>
          <w:pgSz w:w="11713" w:h="16791"/>
          <w:pgMar w:top="720" w:right="1320" w:bottom="290" w:left="1436" w:header="720" w:footer="720" w:gutter="0"/>
          <w:cols w:space="720" w:num="2" w:equalWidth="0"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3282" w:val="left"/>
          <w:tab w:pos="3486" w:val="left"/>
        </w:tabs>
        <w:autoSpaceDE w:val="0"/>
        <w:widowControl/>
        <w:spacing w:line="234" w:lineRule="exact" w:before="0" w:after="506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7.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Ensure environmental sustainability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9.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Integrate the principles of sustainable development into country policies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programmes; reverse loss of environmental resources; (</w:t>
      </w:r>
      <w:r>
        <w:rPr>
          <w:rFonts w:ascii="TimesNewRomanPS" w:hAnsi="TimesNewRomanPS" w:eastAsia="TimesNewRomanPS"/>
          <w:b w:val="0"/>
          <w:i/>
          <w:color w:val="000000"/>
          <w:sz w:val="16"/>
        </w:rPr>
        <w:t xml:space="preserve">Reduce biodiversity loss,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16"/>
        </w:rPr>
        <w:t>achieving, by 2010, a significant reduction in the rate of loss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)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10.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Reduce by half the proportion of people without sustainable access to safe drinking water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11.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Achieve significant improvement in lives of at least 100 million slum dwellers, by 2020</w:t>
      </w:r>
    </w:p>
    <w:p>
      <w:pPr>
        <w:sectPr>
          <w:type w:val="continuous"/>
          <w:pgSz w:w="11713" w:h="16791"/>
          <w:pgMar w:top="720" w:right="1320" w:bottom="290" w:left="1436" w:header="720" w:footer="720" w:gutter="0"/>
          <w:cols w:space="720" w:num="1" w:equalWidth="0"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2" w:lineRule="exact" w:before="0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8.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Develop a global partnership for development</w:t>
      </w:r>
    </w:p>
    <w:p>
      <w:pPr>
        <w:sectPr>
          <w:type w:val="continuous"/>
          <w:pgSz w:w="11713" w:h="16791"/>
          <w:pgMar w:top="720" w:right="1320" w:bottom="290" w:left="1436" w:header="720" w:footer="720" w:gutter="0"/>
          <w:cols w:space="720" w:num="2" w:equalWidth="0"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338" w:val="left"/>
        </w:tabs>
        <w:autoSpaceDE w:val="0"/>
        <w:widowControl/>
        <w:spacing w:line="238" w:lineRule="exact" w:before="0" w:after="394"/>
        <w:ind w:left="134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12.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Develop further an open, rule-based, predictable, non-discriminatory trading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financial system.  Includes a commitment to good governance, development,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poverty reduction </w:t>
      </w:r>
      <w:r>
        <w:br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13.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Address the special needs of the least developed countries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14.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Address the special needs of landlocked countries and small island developing States </w:t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15.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Deal comprehensively with the debt problems of developing countries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16.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In co-operation with developing countries, develop and implement strategies for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decent and productive work for youth </w:t>
      </w:r>
      <w:r>
        <w:br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17.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In co-operation with pharmaceutical companies, provide access to affordable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essential drugs in developing countries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5E5E5E"/>
          <w:sz w:val="16"/>
        </w:rPr>
        <w:t>18.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 In co-operation with the private sector, make available the benefits of new 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technologies, especially information and communications</w:t>
      </w:r>
    </w:p>
    <w:p>
      <w:pPr>
        <w:sectPr>
          <w:type w:val="nextColumn"/>
          <w:pgSz w:w="11713" w:h="16791"/>
          <w:pgMar w:top="720" w:right="1320" w:bottom="290" w:left="1436" w:header="720" w:footer="720" w:gutter="0"/>
          <w:cols w:space="720" w:num="2" w:equalWidth="0"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50" w:lineRule="exact" w:before="0" w:after="0"/>
        <w:ind w:left="4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8"/>
        </w:rPr>
        <w:t>Note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: italicized text refers to additional targets signed at the UN General Assembly in June 2006.</w:t>
      </w:r>
    </w:p>
    <w:p>
      <w:pPr>
        <w:autoSpaceDN w:val="0"/>
        <w:tabs>
          <w:tab w:pos="4070" w:val="left"/>
        </w:tabs>
        <w:autoSpaceDE w:val="0"/>
        <w:widowControl/>
        <w:spacing w:line="242" w:lineRule="auto" w:before="2168" w:after="0"/>
        <w:ind w:left="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10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type w:val="continuous"/>
          <w:pgSz w:w="11713" w:h="16791"/>
          <w:pgMar w:top="720" w:right="1320" w:bottom="290" w:left="1436" w:header="720" w:footer="720" w:gutter="0"/>
          <w:cols w:space="720" w:num="1" w:equalWidth="0"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3898900</wp:posOffset>
            </wp:positionH>
            <wp:positionV relativeFrom="page">
              <wp:posOffset>1498600</wp:posOffset>
            </wp:positionV>
            <wp:extent cx="2743200" cy="2768600"/>
            <wp:wrapNone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686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06" w:lineRule="exact" w:before="0" w:after="288"/>
        <w:ind w:left="3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case studies and the wider literature reviewed for this report also indicate that a well-managed,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sustainable wildlife trade can contribute to: 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14.000000000000057" w:type="dxa"/>
      </w:tblPr>
      <w:tblGrid>
        <w:gridCol w:w="3027"/>
        <w:gridCol w:w="3027"/>
        <w:gridCol w:w="3027"/>
      </w:tblGrid>
      <w:tr>
        <w:trPr>
          <w:trHeight w:hRule="exact" w:val="384"/>
        </w:trPr>
        <w:tc>
          <w:tcPr>
            <w:tcW w:type="dxa" w:w="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6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•</w:t>
            </w:r>
          </w:p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6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food security (either directly through increased</w:t>
            </w:r>
          </w:p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130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"The contributions of fisheries to the</w:t>
            </w:r>
          </w:p>
        </w:tc>
      </w:tr>
      <w:tr>
        <w:trPr>
          <w:trHeight w:hRule="exact" w:val="302"/>
        </w:trPr>
        <w:tc>
          <w:tcPr>
            <w:tcW w:type="dxa" w:w="1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95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•</w:t>
            </w:r>
          </w:p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access to protein from wild meat or fish, or</w:t>
            </w:r>
          </w:p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72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MDGs are of two kinds: direct contribution</w:t>
            </w:r>
          </w:p>
        </w:tc>
      </w:tr>
      <w:tr>
        <w:trPr>
          <w:trHeight w:hRule="exact" w:val="56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indirectly by increasing household incomes and</w:t>
            </w:r>
          </w:p>
        </w:tc>
        <w:tc>
          <w:tcPr>
            <w:tcW w:type="dxa" w:w="3027"/>
            <w:vMerge/>
            <w:tcBorders/>
          </w:tcPr>
          <w:p/>
        </w:tc>
      </w:tr>
      <w:tr>
        <w:trPr>
          <w:trHeight w:hRule="exact" w:val="264"/>
        </w:trPr>
        <w:tc>
          <w:tcPr>
            <w:tcW w:type="dxa" w:w="3027"/>
            <w:vMerge/>
            <w:tcBorders/>
          </w:tcPr>
          <w:p/>
        </w:tc>
        <w:tc>
          <w:tcPr>
            <w:tcW w:type="dxa" w:w="3027"/>
            <w:vMerge/>
            <w:tcBorders/>
          </w:tcPr>
          <w:p/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to specific goals and indirect support to all</w:t>
            </w:r>
          </w:p>
        </w:tc>
      </w:tr>
      <w:tr>
        <w:trPr>
          <w:trHeight w:hRule="exact" w:val="56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12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hence ability to purchase high value food);</w:t>
            </w:r>
          </w:p>
        </w:tc>
        <w:tc>
          <w:tcPr>
            <w:tcW w:type="dxa" w:w="3027"/>
            <w:vMerge/>
            <w:tcBorders/>
          </w:tcPr>
          <w:p/>
        </w:tc>
      </w:tr>
      <w:tr>
        <w:trPr>
          <w:trHeight w:hRule="exact" w:val="283"/>
        </w:trPr>
        <w:tc>
          <w:tcPr>
            <w:tcW w:type="dxa" w:w="3027"/>
            <w:vMerge/>
            <w:tcBorders/>
          </w:tcPr>
          <w:p/>
        </w:tc>
        <w:tc>
          <w:tcPr>
            <w:tcW w:type="dxa" w:w="3027"/>
            <w:vMerge/>
            <w:tcBorders/>
          </w:tcPr>
          <w:p/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0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the goals through enhanced livelihoods. It</w:t>
            </w:r>
          </w:p>
        </w:tc>
      </w:tr>
      <w:tr>
        <w:trPr>
          <w:trHeight w:hRule="exact" w:val="319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health, through access to traditional medicines,</w:t>
            </w:r>
          </w:p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64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is a strength of fisheries, and in particular</w:t>
            </w:r>
          </w:p>
        </w:tc>
      </w:tr>
      <w:tr>
        <w:trPr>
          <w:trHeight w:hRule="exact" w:val="302"/>
        </w:trPr>
        <w:tc>
          <w:tcPr>
            <w:tcW w:type="dxa" w:w="1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63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•</w:t>
            </w:r>
          </w:p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plant-based pharmaceuticals and more secure</w:t>
            </w:r>
          </w:p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72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of small-scale fisheries, that it enables</w:t>
            </w:r>
          </w:p>
        </w:tc>
      </w:tr>
      <w:tr>
        <w:trPr>
          <w:trHeight w:hRule="exact" w:val="56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2" w:after="0"/>
              <w:ind w:left="12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protein supplies; </w:t>
            </w:r>
          </w:p>
        </w:tc>
        <w:tc>
          <w:tcPr>
            <w:tcW w:type="dxa" w:w="3027"/>
            <w:vMerge/>
            <w:tcBorders/>
          </w:tcPr>
          <w:p/>
        </w:tc>
      </w:tr>
      <w:tr>
        <w:trPr>
          <w:trHeight w:hRule="exact" w:val="283"/>
        </w:trPr>
        <w:tc>
          <w:tcPr>
            <w:tcW w:type="dxa" w:w="3027"/>
            <w:vMerge/>
            <w:tcBorders/>
          </w:tcPr>
          <w:p/>
        </w:tc>
        <w:tc>
          <w:tcPr>
            <w:tcW w:type="dxa" w:w="3027"/>
            <w:vMerge/>
            <w:tcBorders/>
          </w:tcPr>
          <w:p/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0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millions of poor fishers, processors and</w:t>
            </w:r>
          </w:p>
        </w:tc>
      </w:tr>
      <w:tr>
        <w:trPr>
          <w:trHeight w:hRule="exact" w:val="319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gender equity, recognizing that women are often</w:t>
            </w:r>
          </w:p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64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traders to diversify their livelihood</w:t>
            </w:r>
          </w:p>
        </w:tc>
      </w:tr>
      <w:tr>
        <w:trPr>
          <w:trHeight w:hRule="exact" w:val="300"/>
        </w:trPr>
        <w:tc>
          <w:tcPr>
            <w:tcW w:type="dxa" w:w="1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63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•</w:t>
            </w:r>
          </w:p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involved in NTFP harvests, through specific</w:t>
            </w:r>
          </w:p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72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strategies on the basis of income and</w:t>
            </w:r>
          </w:p>
        </w:tc>
      </w:tr>
      <w:tr>
        <w:trPr>
          <w:trHeight w:hRule="exact" w:val="60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2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opportunities for women within the trade;</w:t>
            </w:r>
          </w:p>
        </w:tc>
        <w:tc>
          <w:tcPr>
            <w:tcW w:type="dxa" w:w="3027"/>
            <w:vMerge/>
            <w:tcBorders/>
          </w:tcPr>
          <w:p/>
        </w:tc>
      </w:tr>
      <w:tr>
        <w:trPr>
          <w:trHeight w:hRule="exact" w:val="280"/>
        </w:trPr>
        <w:tc>
          <w:tcPr>
            <w:tcW w:type="dxa" w:w="3027"/>
            <w:vMerge/>
            <w:tcBorders/>
          </w:tcPr>
          <w:p/>
        </w:tc>
        <w:tc>
          <w:tcPr>
            <w:tcW w:type="dxa" w:w="3027"/>
            <w:vMerge/>
            <w:tcBorders/>
          </w:tcPr>
          <w:p/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6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commercial skills while at the same time</w:t>
            </w:r>
          </w:p>
        </w:tc>
      </w:tr>
      <w:tr>
        <w:trPr>
          <w:trHeight w:hRule="exact" w:val="320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education targets by enabling poor households</w:t>
            </w:r>
          </w:p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66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supplying vast numbers of poor consumers</w:t>
            </w:r>
          </w:p>
        </w:tc>
      </w:tr>
      <w:tr>
        <w:trPr>
          <w:trHeight w:hRule="exact" w:val="320"/>
        </w:trPr>
        <w:tc>
          <w:tcPr>
            <w:tcW w:type="dxa" w:w="1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3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•</w:t>
            </w:r>
          </w:p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0" w:after="0"/>
              <w:ind w:left="12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to cover school fees (Roe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et al.,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2002).</w:t>
            </w:r>
          </w:p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66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with essential nutrition".</w:t>
            </w:r>
          </w:p>
        </w:tc>
      </w:tr>
      <w:tr>
        <w:trPr>
          <w:trHeight w:hRule="exact" w:val="300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 global partnership for development through</w:t>
            </w:r>
          </w:p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72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WorldFish Center, 2005.</w:t>
            </w:r>
          </w:p>
        </w:tc>
      </w:tr>
      <w:tr>
        <w:trPr>
          <w:trHeight w:hRule="exact" w:val="320"/>
        </w:trPr>
        <w:tc>
          <w:tcPr>
            <w:tcW w:type="dxa" w:w="3027"/>
            <w:vMerge/>
            <w:tcBorders/>
          </w:tcPr>
          <w:p/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more equitable trading and benefit-sharing</w:t>
            </w:r>
          </w:p>
        </w:tc>
        <w:tc>
          <w:tcPr>
            <w:tcW w:type="dxa" w:w="3027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314" w:lineRule="exact" w:before="0" w:after="534"/>
        <w:ind w:left="318" w:right="4464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arrangements and through improved governance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natural resources. 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540"/>
        <w:gridCol w:w="4540"/>
      </w:tblGrid>
      <w:tr>
        <w:trPr>
          <w:trHeight w:hRule="exact" w:val="5884"/>
        </w:trPr>
        <w:tc>
          <w:tcPr>
            <w:tcW w:type="dxa" w:w="306"/>
            <w:tcBorders>
              <w:end w:sz="8.0" w:val="single" w:color="#000000"/>
            </w:tcBorders>
            <w:tcMar>
              <w:start w:w="0" w:type="dxa"/>
              <w:end w:w="0" w:type="dxa"/>
            </w:tcMar>
            <w:textDirection w:val="btLr"/>
          </w:tcPr>
          <w:p>
            <w:pPr>
              <w:autoSpaceDN w:val="0"/>
              <w:autoSpaceDE w:val="0"/>
              <w:widowControl/>
              <w:spacing w:line="186" w:lineRule="exact" w:before="0" w:after="0"/>
              <w:ind w:left="30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Jason Rubens/WWF-Canon </w:t>
            </w:r>
          </w:p>
        </w:tc>
        <w:tc>
          <w:tcPr>
            <w:tcW w:type="dxa" w:w="8744"/>
            <w:tcBorders>
              <w:start w:sz="8.0" w:val="single" w:color="#000000"/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0" w:firstLine="0"/>
              <w:jc w:val="center"/>
            </w:pPr>
            <w:r>
              <w:drawing>
                <wp:inline xmlns:a="http://schemas.openxmlformats.org/drawingml/2006/main" xmlns:pic="http://schemas.openxmlformats.org/drawingml/2006/picture">
                  <wp:extent cx="5553709" cy="3736339"/>
                  <wp:docPr id="18" name="Picture 18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3709" cy="37363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autoSpaceDN w:val="0"/>
        <w:autoSpaceDE w:val="0"/>
        <w:widowControl/>
        <w:spacing w:line="240" w:lineRule="auto" w:before="52" w:after="0"/>
        <w:ind w:left="320" w:right="0" w:firstLine="0"/>
        <w:jc w:val="left"/>
      </w:pPr>
      <w:r>
        <w:rPr>
          <w:rFonts w:ascii="GillSansMT" w:hAnsi="GillSansMT" w:eastAsia="GillSansMT"/>
          <w:b/>
          <w:i w:val="0"/>
          <w:color w:val="A9A9A9"/>
          <w:sz w:val="20"/>
        </w:rPr>
        <w:t xml:space="preserve">Fish smoking, Mafia Island,Tanzania </w:t>
      </w:r>
    </w:p>
    <w:p>
      <w:pPr>
        <w:autoSpaceDN w:val="0"/>
        <w:tabs>
          <w:tab w:pos="8774" w:val="left"/>
        </w:tabs>
        <w:autoSpaceDE w:val="0"/>
        <w:widowControl/>
        <w:spacing w:line="242" w:lineRule="auto" w:before="1918" w:after="0"/>
        <w:ind w:left="5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11</w:t>
      </w:r>
    </w:p>
    <w:p>
      <w:pPr>
        <w:sectPr>
          <w:pgSz w:w="11713" w:h="16791"/>
          <w:pgMar w:top="678" w:right="1246" w:bottom="290" w:left="1386" w:header="720" w:footer="720" w:gutter="0"/>
          <w:cols w:space="720" w:num="1" w:equalWidth="0"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0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Some of these contributions can be direct (cash, jobs, more food, more equitable trading arrangements,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etc) and well-managed wildlife trade can help enhance livelihood security over the longer term, thus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reducing the vulnerability of poor people to external shocks and indirectly supporting all the goals. </w:t>
      </w:r>
    </w:p>
    <w:p>
      <w:pPr>
        <w:autoSpaceDN w:val="0"/>
        <w:autoSpaceDE w:val="0"/>
        <w:widowControl/>
        <w:spacing w:line="254" w:lineRule="auto" w:before="35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How management of wildlife trade can enhance its contri-</w:t>
      </w:r>
      <w:r>
        <w:rPr>
          <w:rFonts w:ascii="GillSansMT" w:hAnsi="GillSansMT" w:eastAsia="GillSansMT"/>
          <w:b/>
          <w:i w:val="0"/>
          <w:color w:val="000000"/>
          <w:sz w:val="28"/>
        </w:rPr>
        <w:t>bution to the MDGs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Before moving on to consider wildlife trade contributions in detail, recognizing the difference that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of wildlife trade can make to its ecological and socio-economic impacts, this section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concludes with a brief overview of the ways in which wildlife trade is managed at different levels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global to local.  These different approaches are considered in more detail within the individual case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studies.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Wildlife trade is managed through a variety of measures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regulatory and voluntary, formal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informal, direct and indirect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at a variety of levels from global to local.  For some species or taxa,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regional or bilateral agreements exist or species/taxa-specific action plans.  Wildlife trade regulation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has been reviewed in detail elsewhere (see Roe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2002; Oldfield, 2003; Burgener, 2007) and such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review is not repeated here.  However, the main international and national regulatory measures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briefly reviewed below along with mention of local approaches based on customary law and traditional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institutions and an introduction to the voluntary approaches that are becoming a significant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complement to regulation. </w:t>
      </w:r>
    </w:p>
    <w:p>
      <w:pPr>
        <w:autoSpaceDN w:val="0"/>
        <w:autoSpaceDE w:val="0"/>
        <w:widowControl/>
        <w:spacing w:line="240" w:lineRule="auto" w:before="356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International trade controls</w:t>
      </w:r>
    </w:p>
    <w:p>
      <w:pPr>
        <w:autoSpaceDN w:val="0"/>
        <w:autoSpaceDE w:val="0"/>
        <w:widowControl/>
        <w:spacing w:line="320" w:lineRule="exact" w:before="32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best known instrument for managing international trade in wildlife is CITES which came into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effect in 1975 and which has over 170 member countries (Parties).  By acceding to CITES, Parties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agree to controls (both export and import) on international trade in species that are listed in one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Convention’s three Appendices:</w:t>
      </w:r>
    </w:p>
    <w:p>
      <w:pPr>
        <w:autoSpaceDN w:val="0"/>
        <w:autoSpaceDE w:val="0"/>
        <w:widowControl/>
        <w:spacing w:line="316" w:lineRule="exact" w:before="334" w:after="0"/>
        <w:ind w:left="288" w:right="308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Appendix I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includes species that are considered by the Parties to be threatened with extinction.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International trade is generally prohibited although exceptions can be made (e.g. for sport-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hunted trophies) as long as the export is deemed not detrimental to the wild population and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import is not for commercial purposes. </w:t>
      </w:r>
    </w:p>
    <w:p>
      <w:pPr>
        <w:autoSpaceDN w:val="0"/>
        <w:autoSpaceDE w:val="0"/>
        <w:widowControl/>
        <w:spacing w:line="316" w:lineRule="exact" w:before="14" w:after="0"/>
        <w:ind w:left="288" w:right="308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Appendix II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includes species that are not necessarily threatened with extinction but that might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become so unless trade is closely controlled.  It also includes species that are not of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concern, but which resemble other CITES-listed species so closely that their trade needs to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regulated in order to assist trade control measures for the more threatened species. </w:t>
      </w:r>
    </w:p>
    <w:p>
      <w:pPr>
        <w:autoSpaceDN w:val="0"/>
        <w:autoSpaceDE w:val="0"/>
        <w:widowControl/>
        <w:spacing w:line="310" w:lineRule="exact" w:before="20" w:after="0"/>
        <w:ind w:left="288" w:right="288" w:firstLine="0"/>
        <w:jc w:val="left"/>
      </w:pPr>
      <w:r>
        <w:rPr>
          <w:rFonts w:ascii="TimesNewRomanPS" w:hAnsi="TimesNewRomanPS" w:eastAsia="TimesNewRomanPS"/>
          <w:b/>
          <w:i/>
          <w:color w:val="000000"/>
          <w:sz w:val="22"/>
        </w:rPr>
        <w:t>Appendix III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includes species for which a Party considers the co-operation of other countries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 necessary to prevent unsustainable or illegal trade in native species.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214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12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6121400</wp:posOffset>
            </wp:positionV>
            <wp:extent cx="5753100" cy="3200400"/>
            <wp:wrapNone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2004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CITES Appendix I currently lists over 800 animal and plant species while Appendix II contains over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4000 animal species and around 25 000 plant species.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Parties to CITES meet approximately every three years to consider amendments to the CITES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Appendices and discuss implementation of the Convention.  Areas of concern are often addressed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through adoption of “Resolutions” and “Decisions”, which highlight key issues and make recommen-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dations directed to the Parties, CITES Committees, non-governmental organizations and others.  These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resolutions are “soft law”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unlike the text of the Convention, they are not binding on the Parties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but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implementation is strongly encouraged.  In cases where there is significant concern regarding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CITES implementation, the Standing Committee can recommend, and has recommended, that Parties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suspend imports from and/or exports of CITES-listed species to a given Party or Parties. </w:t>
      </w:r>
    </w:p>
    <w:p>
      <w:pPr>
        <w:autoSpaceDN w:val="0"/>
        <w:autoSpaceDE w:val="0"/>
        <w:widowControl/>
        <w:spacing w:line="324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CITES decisions are made on the basis of conservation concerns, increasing attention has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been paid recently to the impacts some CITES decisions may have on local people’s livelihoods and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commitment has been made to identify whether these conservation-motivated decisions will have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unintended negative implications for poor people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Box 1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).</w:t>
      </w:r>
    </w:p>
    <w:p>
      <w:pPr>
        <w:autoSpaceDN w:val="0"/>
        <w:autoSpaceDE w:val="0"/>
        <w:widowControl/>
        <w:spacing w:line="320" w:lineRule="exact" w:before="30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addition, the new CITES Strategic Vision 2008–2013, adopted at the 14th meeting of the Conference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the Parties to CITES (CoP14), outlines the Convention’s direction into the millennium and was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drafted to take account of issues, such as contributing to the MDGs, that are relevant to CITES.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Objective 3.4 of the Strategic Goals of the Vision calls for the contribution of CITES to the relevant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MDGs and sustainable development goals set at the World Summit on Sustainable Development to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strengthened by ensuring that international trade in wild fauna and flora is conducted at sustainable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levels.</w:t>
      </w:r>
    </w:p>
    <w:p>
      <w:pPr>
        <w:autoSpaceDN w:val="0"/>
        <w:autoSpaceDE w:val="0"/>
        <w:widowControl/>
        <w:spacing w:line="240" w:lineRule="auto" w:before="652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1</w:t>
      </w:r>
    </w:p>
    <w:p>
      <w:pPr>
        <w:autoSpaceDN w:val="0"/>
        <w:autoSpaceDE w:val="0"/>
        <w:widowControl/>
        <w:spacing w:line="240" w:lineRule="auto" w:before="372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CITES and livelihoods</w:t>
      </w:r>
    </w:p>
    <w:p>
      <w:pPr>
        <w:autoSpaceDN w:val="0"/>
        <w:autoSpaceDE w:val="0"/>
        <w:widowControl/>
        <w:spacing w:line="240" w:lineRule="auto" w:before="390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CITES has governance implications for wildlife producing, processing and consuming countries. Proposals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to list species in the CITES Appendices or to move species between Appendices can be submitted by any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Party, whether or not that Party is a range State for the species concerned. The acceptance of CITES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listing proposals can have significant financial implications for range States (Martin,2000</w:t>
      </w:r>
      <w:r>
        <w:rPr>
          <w:rFonts w:ascii="GillSansMT" w:hAnsi="GillSansMT" w:eastAsia="GillSansMT"/>
          <w:b w:val="0"/>
          <w:i/>
          <w:color w:val="000000"/>
          <w:sz w:val="21"/>
        </w:rPr>
        <w:t>).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Listing decisions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can also have significant implications for the livelihoods of local people who may have been dependent on</w:t>
      </w:r>
    </w:p>
    <w:p>
      <w:pPr>
        <w:autoSpaceDN w:val="0"/>
        <w:autoSpaceDE w:val="0"/>
        <w:widowControl/>
        <w:spacing w:line="278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harvesting or trading certain species for all, or part, of their income. Prompted by an amendment to </w:t>
      </w:r>
      <w:r>
        <w:rPr>
          <w:rFonts w:ascii="GillSansMT" w:hAnsi="GillSansMT" w:eastAsia="GillSansMT"/>
          <w:b w:val="0"/>
          <w:i/>
          <w:color w:val="000000"/>
          <w:sz w:val="21"/>
        </w:rPr>
        <w:t>CITES Resolution Conf 8.3 Recognition of the Benefits of Trade in Wildlife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at the 13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meeting of the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Conference of Parties (CoP 13) in 2006, a Decision was adopted at CITES CoP 14 in 2007 that calls for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the development and use of a toolkit to assess the positive and negative impacts of implementing CITES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listing decisions on the livelihoods of the poor and the drafting of voluntary guidelines to address negative</w:t>
      </w:r>
    </w:p>
    <w:p>
      <w:pPr>
        <w:autoSpaceDN w:val="0"/>
        <w:autoSpaceDE w:val="0"/>
        <w:widowControl/>
        <w:spacing w:line="240" w:lineRule="auto" w:before="7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impacts (CITES </w:t>
      </w:r>
      <w:r>
        <w:rPr>
          <w:rFonts w:ascii="GillSansMT" w:hAnsi="GillSansMT" w:eastAsia="GillSansMT"/>
          <w:b w:val="0"/>
          <w:i/>
          <w:color w:val="000000"/>
          <w:sz w:val="21"/>
        </w:rPr>
        <w:t>Decision 14.3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).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606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13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8"/>
        <w:ind w:left="0" w:right="0"/>
      </w:pPr>
    </w:p>
    <w:p>
      <w:pPr>
        <w:autoSpaceDN w:val="0"/>
        <w:autoSpaceDE w:val="0"/>
        <w:widowControl/>
        <w:spacing w:line="242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National wildlife trade regulations</w:t>
      </w:r>
    </w:p>
    <w:p>
      <w:pPr>
        <w:autoSpaceDN w:val="0"/>
        <w:autoSpaceDE w:val="0"/>
        <w:widowControl/>
        <w:spacing w:line="320" w:lineRule="exact" w:before="32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Even prior to the coming into force of CITES in the mid-1970s, a number of countries had already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developed measures to regulate trade in wildlife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particularly exports.  National (and in the case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European Union (EU), regional) level trade controls for native and exotic species have continued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evolve in parallel with CITES for a variety of reasons.  These include: conservation (e.g. of threatened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under the US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Endangered Species Act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), animal welfare (e.g. within the EU there are import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bans on the skins of young Harp Seals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Phoca groenlandica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and Hooded Seals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Cystophora cristata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 species trapped in ways that do not meet “international humane trapping standards”; human health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concerns (e.g. the recent EU ban on wild bird imports was motivated by concerns over the spread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avian influenza); and concerns regarding the introduction of invasive species.  In consideration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relationship between conservation and income, in 2001, the Government of Namibia announced a ban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 the export of native live animals.  In implementing the ban, they cited the importance of wildlife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country in terms of tourism, hunting and other forms of use and the need to make sure Namibia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remained “competitive in this regard” by ensuring that it was a unique destination for seeing certain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species (Anon., 2001).</w:t>
      </w:r>
    </w:p>
    <w:p>
      <w:pPr>
        <w:autoSpaceDN w:val="0"/>
        <w:autoSpaceDE w:val="0"/>
        <w:widowControl/>
        <w:spacing w:line="318" w:lineRule="exact" w:before="334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some cases wildlife trade is regulated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indirectly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through resource access or harvest controls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(although sometimes these are implemented in combination with direct trade controls).  The goals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such controls are often two-fold: first, to ensure that harvests are conducted in a manner consistent with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government resource management and/or conservation objectives; and second to achieve financial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objectives, e.g. revenue generation through fees or taxes.  Such controls can take a number of forms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e.g. full harvest bans, permits determining quotas, timing, size of specimens etc.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are likely to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 place for all but the commonest of species.</w:t>
      </w:r>
    </w:p>
    <w:p>
      <w:pPr>
        <w:autoSpaceDN w:val="0"/>
        <w:autoSpaceDE w:val="0"/>
        <w:widowControl/>
        <w:spacing w:line="242" w:lineRule="auto" w:before="354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Local norms and institutions</w:t>
      </w:r>
    </w:p>
    <w:p>
      <w:pPr>
        <w:autoSpaceDN w:val="0"/>
        <w:autoSpaceDE w:val="0"/>
        <w:widowControl/>
        <w:spacing w:line="320" w:lineRule="exact" w:before="32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Local norms and institutions have long regulated the use of wildlife at the individual, household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community level.  Numerous examples exist of customary practices that influence the timing and rate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harvesting, or that prohibit the use of certain species or harvesting in certain areas (see, for example,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Jaireth and Smyth, 2003).  Many of these are aimed at resource management in general but a few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specifically intended to regulate the use of wildlife in trade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Box 2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 In Madagascar, for example,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crayfish harvesting is widespread in the Ranomafana area for subsistence use and small-scale trade. 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some villages, however, strong traditional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fady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(taboos) prevent commercial harvesting but still allow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subsistence use (Jones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2006).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3486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14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8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4406900"/>
            <wp:wrapNone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40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3181350</wp:posOffset>
            </wp:positionH>
            <wp:positionV relativeFrom="page">
              <wp:posOffset>6075680</wp:posOffset>
            </wp:positionV>
            <wp:extent cx="3359150" cy="2218307"/>
            <wp:wrapNone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221830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5422900</wp:posOffset>
            </wp:positionH>
            <wp:positionV relativeFrom="page">
              <wp:posOffset>6388100</wp:posOffset>
            </wp:positionV>
            <wp:extent cx="38100" cy="38100"/>
            <wp:wrapNone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2</w:t>
      </w:r>
    </w:p>
    <w:p>
      <w:pPr>
        <w:autoSpaceDN w:val="0"/>
        <w:autoSpaceDE w:val="0"/>
        <w:widowControl/>
        <w:spacing w:line="242" w:lineRule="auto" w:before="37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 xml:space="preserve">Local action to regulate commercial fishing in the Brazilian Amazon </w:t>
      </w:r>
    </w:p>
    <w:p>
      <w:pPr>
        <w:autoSpaceDN w:val="0"/>
        <w:autoSpaceDE w:val="0"/>
        <w:widowControl/>
        <w:spacing w:line="286" w:lineRule="auto" w:before="368" w:after="0"/>
        <w:ind w:left="70" w:right="152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During the 1960s the Brazilian Government instituted a number of development projects to integrate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Amazon region into the modern Brazilian economy. One of these was the establishment of the Manaus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Free Trade Zone—a commercial centre in the heart of the Amazon basin. The resulting population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growth placed increasing pressure on local fisheries with commercial vessels venturing further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further from Manaus in pursuit of new fishing grounds. Silves, on the banks of </w:t>
      </w:r>
      <w:r>
        <w:rPr>
          <w:rFonts w:ascii="GillSansMT" w:hAnsi="GillSansMT" w:eastAsia="GillSansMT"/>
          <w:b w:val="0"/>
          <w:i w:val="0"/>
          <w:color w:val="424242"/>
          <w:sz w:val="21"/>
        </w:rPr>
        <w:t>Canaçari lake,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was one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such location, where commercial fishermen from Manaus were locally regarded as poachers.</w:t>
      </w:r>
    </w:p>
    <w:p>
      <w:pPr>
        <w:autoSpaceDN w:val="0"/>
        <w:autoSpaceDE w:val="0"/>
        <w:widowControl/>
        <w:spacing w:line="290" w:lineRule="auto" w:before="376" w:after="0"/>
        <w:ind w:left="70" w:right="152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After witnessing dramatic declines in their own fishing yields,in the early 1980s residents of Silves blocked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entrance to the lake. The commercial fishermen called in the military police but this hostile response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only further stimulated the collective efforts to protect the fisheries. As a result of community pressure,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Municipality of Silves institutionalized community regulations, establishing a management system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comprising protected areas; commercial areas, where sustainable harvesting is practised; and subsistence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areas for local use only. “By prioritising local meaning and perceived needs, the </w:t>
      </w:r>
      <w:r>
        <w:rPr>
          <w:rFonts w:ascii="GillSansMT" w:hAnsi="GillSansMT" w:eastAsia="GillSansMT"/>
          <w:b w:val="0"/>
          <w:i/>
          <w:color w:val="000000"/>
          <w:sz w:val="21"/>
        </w:rPr>
        <w:t xml:space="preserve">cabolco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fishermen of Silves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had developed a system of sustainable resource use in which those who created the regulations were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ones who would be subjected to them. The impetus for participation and commitment was based in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high stakes involved. For most the issue was that of livelihood.” </w:t>
      </w:r>
    </w:p>
    <w:p>
      <w:pPr>
        <w:autoSpaceDN w:val="0"/>
        <w:autoSpaceDE w:val="0"/>
        <w:widowControl/>
        <w:spacing w:line="266" w:lineRule="exact" w:before="382" w:after="0"/>
        <w:ind w:left="7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>Source: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 xml:space="preserve"> Chernela (2003).</w:t>
      </w:r>
    </w:p>
    <w:p>
      <w:pPr>
        <w:autoSpaceDN w:val="0"/>
        <w:autoSpaceDE w:val="0"/>
        <w:widowControl/>
        <w:spacing w:line="240" w:lineRule="auto" w:before="676" w:after="294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Voluntary measures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37"/>
        <w:gridCol w:w="3037"/>
        <w:gridCol w:w="3037"/>
      </w:tblGrid>
      <w:tr>
        <w:trPr>
          <w:trHeight w:hRule="exact" w:val="356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60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 addition to the regulatory measures</w:t>
            </w:r>
          </w:p>
        </w:tc>
        <w:tc>
          <w:tcPr>
            <w:tcW w:type="dxa" w:w="54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5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26.00000000000023" w:type="dxa"/>
            </w:tblPr>
            <w:tblGrid>
              <w:gridCol w:w="5420"/>
            </w:tblGrid>
            <w:tr>
              <w:trPr>
                <w:trHeight w:hRule="exact" w:val="3480"/>
              </w:trPr>
              <w:tc>
                <w:tcPr>
                  <w:tcW w:type="dxa" w:w="5296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0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8" w:lineRule="exact" w:before="12" w:after="0"/>
              <w:ind w:left="882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Michel Gunther/WWF-Canon </w:t>
            </w:r>
          </w:p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described above, a growing number of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standards, certification schemes and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associated labels are being developed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for various wildlife products</w:t>
            </w:r>
            <w:r>
              <w:rPr>
                <w:rFonts w:ascii="GillSansMT" w:hAnsi="GillSansMT" w:eastAsia="GillSansMT"/>
                <w:b w:val="0"/>
                <w:i w:val="0"/>
                <w:color w:val="000000"/>
                <w:sz w:val="22"/>
              </w:rPr>
              <w:t>—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including timber, fish, medicinal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06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plants (see </w:t>
            </w: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2"/>
              </w:rPr>
              <w:t>Box 3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) and skins</w:t>
            </w:r>
            <w:r>
              <w:rPr>
                <w:rFonts w:ascii="GillSansMT" w:hAnsi="GillSansMT" w:eastAsia="GillSansMT"/>
                <w:b w:val="0"/>
                <w:i w:val="0"/>
                <w:color w:val="000000"/>
                <w:sz w:val="22"/>
              </w:rPr>
              <w:t>—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to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promote the sustainable management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of wildlife resources (including their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trade).  Examples of these initiatives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are provided throughout this report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140"/>
        </w:trPr>
        <w:tc>
          <w:tcPr>
            <w:tcW w:type="dxa" w:w="346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and their potential for generating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180"/>
        </w:trPr>
        <w:tc>
          <w:tcPr>
            <w:tcW w:type="dxa" w:w="3037"/>
            <w:vMerge/>
            <w:tcBorders/>
          </w:tcPr>
          <w:p/>
        </w:tc>
        <w:tc>
          <w:tcPr>
            <w:tcW w:type="dxa" w:w="54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8" w:after="0"/>
              <w:ind w:left="142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Local women sorting leaves for myrtle distillation in</w:t>
            </w:r>
          </w:p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100"/>
        </w:trPr>
        <w:tc>
          <w:tcPr>
            <w:tcW w:type="dxa" w:w="346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2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conservation and livelihood benefits is</w:t>
            </w:r>
          </w:p>
        </w:tc>
        <w:tc>
          <w:tcPr>
            <w:tcW w:type="dxa" w:w="3037"/>
            <w:vMerge/>
            <w:tcBorders/>
          </w:tcPr>
          <w:p/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259"/>
        </w:trPr>
        <w:tc>
          <w:tcPr>
            <w:tcW w:type="dxa" w:w="3037"/>
            <w:vMerge/>
            <w:tcBorders/>
          </w:tcPr>
          <w:p/>
        </w:tc>
        <w:tc>
          <w:tcPr>
            <w:tcW w:type="dxa" w:w="5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8" w:after="0"/>
              <w:ind w:left="142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Tunisia. Certification of the myrtle products is designed</w:t>
            </w:r>
          </w:p>
        </w:tc>
        <w:tc>
          <w:tcPr>
            <w:tcW w:type="dxa" w:w="3037"/>
            <w:vMerge/>
            <w:tcBorders/>
          </w:tcPr>
          <w:p/>
        </w:tc>
      </w:tr>
      <w:tr>
        <w:trPr>
          <w:trHeight w:hRule="exact" w:val="285"/>
        </w:trPr>
        <w:tc>
          <w:tcPr>
            <w:tcW w:type="dxa" w:w="34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0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discussed in the next section.</w:t>
            </w:r>
          </w:p>
        </w:tc>
        <w:tc>
          <w:tcPr>
            <w:tcW w:type="dxa" w:w="5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142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to help build self-sustaining small community enterprises</w:t>
            </w:r>
          </w:p>
        </w:tc>
        <w:tc>
          <w:tcPr>
            <w:tcW w:type="dxa" w:w="3037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40" w:lineRule="auto" w:before="8" w:after="0"/>
        <w:ind w:left="0" w:right="3136" w:firstLine="0"/>
        <w:jc w:val="right"/>
      </w:pPr>
      <w:r>
        <w:rPr>
          <w:rFonts w:ascii="GillSansMT" w:hAnsi="GillSansMT" w:eastAsia="GillSansMT"/>
          <w:b/>
          <w:i w:val="0"/>
          <w:color w:val="A9A9A9"/>
          <w:sz w:val="20"/>
        </w:rPr>
        <w:t>based on forest products.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864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15</w:t>
      </w:r>
    </w:p>
    <w:p>
      <w:pPr>
        <w:sectPr>
          <w:pgSz w:w="11713" w:h="16791"/>
          <w:pgMar w:top="724" w:right="1186" w:bottom="290" w:left="1416" w:header="720" w:footer="720" w:gutter="0"/>
          <w:cols w:space="720" w:num="1" w:equalWidth="0"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3949700"/>
            <wp:wrapNone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949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3</w:t>
      </w:r>
    </w:p>
    <w:p>
      <w:pPr>
        <w:autoSpaceDN w:val="0"/>
        <w:autoSpaceDE w:val="0"/>
        <w:widowControl/>
        <w:spacing w:line="242" w:lineRule="auto" w:before="37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International Standard for Sustainable Wild Collection of Medicinal Plants</w:t>
      </w:r>
    </w:p>
    <w:p>
      <w:pPr>
        <w:autoSpaceDN w:val="0"/>
        <w:autoSpaceDE w:val="0"/>
        <w:widowControl/>
        <w:spacing w:line="240" w:lineRule="auto" w:before="388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More than 400 000 t of medicinal and aromatic plants are traded annually, with around 80% of the species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harvested from the wild. Almost 70 000 species are involved, many of them are in danger of over-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exploitation and even extinction through over-collection and habitat loss. For example, in India, almost</w:t>
      </w:r>
    </w:p>
    <w:p>
      <w:pPr>
        <w:autoSpaceDN w:val="0"/>
        <w:autoSpaceDE w:val="0"/>
        <w:widowControl/>
        <w:spacing w:line="240" w:lineRule="auto" w:before="7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300 medicinal plants are considered threatened by IUCN.</w:t>
      </w:r>
    </w:p>
    <w:p>
      <w:pPr>
        <w:autoSpaceDN w:val="0"/>
        <w:autoSpaceDE w:val="0"/>
        <w:widowControl/>
        <w:spacing w:line="240" w:lineRule="auto" w:before="39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The International Standard for Sustainable Wild Collection of Medicinal and Aromatic Plants (ISSC-MAP)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was drawn up following extensive consultation with plant experts and the herbal products industry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worldwide. It promotes appropriate management of wild plant populations to ensure plants used in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medicine and cosmetics are not over-exploited. The Standard is based on six principles: maintaining wild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MAP resources,preventing negative environmental impacts,legal compliance,respecting customary rights,</w:t>
      </w:r>
    </w:p>
    <w:p>
      <w:pPr>
        <w:autoSpaceDN w:val="0"/>
        <w:autoSpaceDE w:val="0"/>
        <w:widowControl/>
        <w:spacing w:line="240" w:lineRule="auto" w:before="7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applying responsible management practices, and applying responsible business practices.</w:t>
      </w:r>
    </w:p>
    <w:p>
      <w:pPr>
        <w:autoSpaceDN w:val="0"/>
        <w:autoSpaceDE w:val="0"/>
        <w:widowControl/>
        <w:spacing w:line="240" w:lineRule="auto" w:before="39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Organizations and experts involved in the ISSC-MAP consultation included: the German Federal Agency</w:t>
      </w:r>
    </w:p>
    <w:p>
      <w:pPr>
        <w:autoSpaceDN w:val="0"/>
        <w:autoSpaceDE w:val="0"/>
        <w:widowControl/>
        <w:spacing w:line="240" w:lineRule="auto" w:before="7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for Nature Conservation (BfN), the IUCN/SSC Medicinal Plant Specialist Group (MPSG),WWF Germany,</w:t>
      </w:r>
    </w:p>
    <w:p>
      <w:pPr>
        <w:autoSpaceDN w:val="0"/>
        <w:autoSpaceDE w:val="0"/>
        <w:widowControl/>
        <w:spacing w:line="240" w:lineRule="auto" w:before="7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and TRAFFIC, as well as industry associations, companies, certifiers and community-based NGOs.</w:t>
      </w:r>
    </w:p>
    <w:p>
      <w:pPr>
        <w:autoSpaceDN w:val="0"/>
        <w:autoSpaceDE w:val="0"/>
        <w:widowControl/>
        <w:spacing w:line="254" w:lineRule="auto" w:before="734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ANALYSIS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GillSansMT" w:hAnsi="GillSansMT" w:eastAsia="GillSansMT"/>
          <w:b/>
          <w:i w:val="0"/>
          <w:color w:val="000000"/>
          <w:sz w:val="28"/>
        </w:rPr>
        <w:t xml:space="preserve">CONTRIBUTIONS OF WILDLIFE TRADE TO THE </w:t>
      </w:r>
      <w:r>
        <w:rPr>
          <w:rFonts w:ascii="GillSansMT" w:hAnsi="GillSansMT" w:eastAsia="GillSansMT"/>
          <w:b/>
          <w:i w:val="0"/>
          <w:color w:val="000000"/>
          <w:sz w:val="28"/>
        </w:rPr>
        <w:t>MDGS</w:t>
      </w:r>
    </w:p>
    <w:p>
      <w:pPr>
        <w:autoSpaceDN w:val="0"/>
        <w:autoSpaceDE w:val="0"/>
        <w:widowControl/>
        <w:spacing w:line="320" w:lineRule="exact" w:before="316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section draws on the findings of the case studies presented at the end of this report and on a wider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review of the available literature on traded wildlife products. 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Wildlife trade and poverty reduction (MDG 1)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most obvious contribution of wildlife trade to the MDGs is to the poverty reduction target of Goal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1: wildlife trade can generate significant returns both to poor countries and to poor people.  An analysis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wildlife trade routes shows a general direction of flow from developing to developed countries (Roe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2002).  Unfortunately, wildlife exports (other than the commercially valuable timber and marine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fisheries industries) are rarely factored into estimates of Gross Domestic Product (GDP) contributions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the national economy (Nasi and Cunningham, 2001).  Nevertheless, sustainable wildlife trade can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make a significant, if under-recognized, contribution to the economies of cash-poor but biodiverse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countries, as shown by the following examples: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Uganda’s lake fisheries produce fish worth over USD200 million a year, employ 135 000 fishers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700 000 small-scale operators in processing, trade and associated industries, generate USD87.5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million in export earnings and contribute 2.2% to GDP (The Republic of Uganda, 2004, cited 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WorldFish Center, 2005).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044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16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722" w:right="1248" w:bottom="290" w:left="1416" w:header="720" w:footer="720" w:gutter="0"/>
          <w:cols w:space="720" w:num="1" w:equalWidth="0"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3251200</wp:posOffset>
            </wp:positionV>
            <wp:extent cx="5753100" cy="3060700"/>
            <wp:wrapNone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06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tabs>
          <w:tab w:pos="288" w:val="left"/>
        </w:tabs>
        <w:autoSpaceDE w:val="0"/>
        <w:widowControl/>
        <w:spacing w:line="31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Brazil’s Amazonas municipality, collection of the Cardinal Tetra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Paracheirodon axelrodi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for the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aquarium fish trade is responsible for 80% of the income to the municipality (van Andel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2003).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Guyana, wild animals are by far the most important commercial NTFP, with exports worth up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USD2 million per year in the late 1990s (van Andel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2003).</w:t>
      </w:r>
    </w:p>
    <w:p>
      <w:pPr>
        <w:autoSpaceDN w:val="0"/>
        <w:autoSpaceDE w:val="0"/>
        <w:widowControl/>
        <w:spacing w:line="306" w:lineRule="exact" w:before="348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Table 5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identifies the major importers and exporters for key wildlife commodities. </w:t>
      </w:r>
    </w:p>
    <w:p>
      <w:pPr>
        <w:autoSpaceDN w:val="0"/>
        <w:autoSpaceDE w:val="0"/>
        <w:widowControl/>
        <w:spacing w:line="240" w:lineRule="auto" w:before="424" w:after="0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Table 5</w:t>
      </w:r>
    </w:p>
    <w:p>
      <w:pPr>
        <w:autoSpaceDN w:val="0"/>
        <w:autoSpaceDE w:val="0"/>
        <w:widowControl/>
        <w:spacing w:line="240" w:lineRule="auto" w:before="384" w:after="192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Major trade flows for key wildlife commodities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3016"/>
        <w:gridCol w:w="3016"/>
        <w:gridCol w:w="3016"/>
      </w:tblGrid>
      <w:tr>
        <w:trPr>
          <w:trHeight w:hRule="exact" w:val="486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0" w:lineRule="exact" w:before="60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6"/>
              </w:rPr>
              <w:t>Commodity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0" w:lineRule="exact" w:before="60" w:after="0"/>
              <w:ind w:left="9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6"/>
              </w:rPr>
              <w:t>Major importers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0" w:lineRule="exact" w:before="60" w:after="0"/>
              <w:ind w:left="132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6"/>
              </w:rPr>
              <w:t>Major exporters</w:t>
            </w:r>
          </w:p>
        </w:tc>
      </w:tr>
      <w:tr>
        <w:trPr>
          <w:trHeight w:hRule="exact" w:val="46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21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Primates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21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USA, France, Japan, Canada, UK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21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Mauritius, China, France, USA, Viet Nam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Cage birds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France, UK, Belgium, Japan, USA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Belgium, Netherlands, France, Singapore, China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Birds of prey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Malaysia, Japan, UK, Korea, Qatar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Germany, Mongolia, UK, Denmark, Canada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Reptiles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USA, Hong Kong, Japan, Singapore, Germany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USA, Thailand, China, Singapore, Slovenia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Ornamental fish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USA, UK, Japan, Germany, France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Singapore, Malaysia, Spain, Japan, Czech Rep.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Mammal furs/fur products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Hong Kong, USA, China, Italy, Japan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China, Hong Kong, Denmark, Finland, Italy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Reptile skins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Italy, France, Singapore, Japan, Germany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Singapore, USA, France, Italy, Colombia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Ornamental corals &amp; shells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USA, France, China, Hong Kong, Japan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Belgium, USA, Japan, UK, Viet Nam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Natural pearls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USA, Australia, UK, Italy, Switzerland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USA, Switzerland, UK, Australia, India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Game meat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Germany, France, Belgium, Switzerland, Netherlands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New Zealand, France, Belgium, Poland, Germany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Frogs legs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France, USA, Belgium, Italy, Canada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Belgium, Viet Nam, Turkey, Italy</w:t>
            </w:r>
          </w:p>
        </w:tc>
      </w:tr>
      <w:tr>
        <w:trPr>
          <w:trHeight w:hRule="exact" w:val="320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Edible snails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China, France, Spain, Italy, Hong Kong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1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China, Morocco, Tunisia, Romania, Poland</w:t>
            </w:r>
          </w:p>
        </w:tc>
      </w:tr>
      <w:tr>
        <w:trPr>
          <w:trHeight w:hRule="exact" w:val="346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Ornamental plants</w:t>
            </w:r>
          </w:p>
        </w:tc>
        <w:tc>
          <w:tcPr>
            <w:tcW w:type="dxa" w:w="3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9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Germany, USA, UK, France, Netherlands</w:t>
            </w:r>
          </w:p>
        </w:tc>
        <w:tc>
          <w:tcPr>
            <w:tcW w:type="dxa" w:w="3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7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Netherlands, Colombia, Italy, Belgium, Denmark</w:t>
            </w:r>
          </w:p>
        </w:tc>
      </w:tr>
    </w:tbl>
    <w:p>
      <w:pPr>
        <w:autoSpaceDN w:val="0"/>
        <w:autoSpaceDE w:val="0"/>
        <w:widowControl/>
        <w:spacing w:line="266" w:lineRule="exact" w:before="148" w:after="0"/>
        <w:ind w:left="6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>Source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: Analysis by TRAFFIC based on UN Statistics Division COMTRADE database.</w:t>
      </w:r>
    </w:p>
    <w:p>
      <w:pPr>
        <w:autoSpaceDN w:val="0"/>
        <w:autoSpaceDE w:val="0"/>
        <w:widowControl/>
        <w:spacing w:line="320" w:lineRule="exact" w:before="60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Recognizing the potential of trade in wildlife products for developing countries, the United Nations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Conference on Trade and Development (UNCTAD) established a “BioTrade Initiative” in 1996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further stimulate trade and investment in the sustainable use of biological resources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Box 4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BioTrade Initiative currently has national programmes in Bolivia, Brazil, Colombia, Costa Rica,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Ecuador, Peru, Uganda, Venezuela and Viet Nam as well as regional programmes in the Amazon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Andes.  The objective of the initiative is to enhance the capability of developing countries to produce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value-added products and services derived from biodiversity, for both domestic and international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markets. </w:t>
      </w:r>
    </w:p>
    <w:p>
      <w:pPr>
        <w:autoSpaceDN w:val="0"/>
        <w:autoSpaceDE w:val="0"/>
        <w:widowControl/>
        <w:spacing w:line="320" w:lineRule="exact" w:before="320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Within poor countries, huge numbers of people have some involvement in wildlife trade.  The fisheries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case study, for example, points out that in Asia alone, millions of people are involved in a wide range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58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17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1651000</wp:posOffset>
            </wp:positionV>
            <wp:extent cx="5753100" cy="4775200"/>
            <wp:wrapNone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7752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0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fishery-related activities.  Estimates of the number of people dependent on wild resources for at least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 of their income range from 200 million worldwide to one billion just in Asia and the Pacific (van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Rijsoort, 2000). </w:t>
      </w:r>
    </w:p>
    <w:p>
      <w:pPr>
        <w:autoSpaceDN w:val="0"/>
        <w:autoSpaceDE w:val="0"/>
        <w:widowControl/>
        <w:spacing w:line="242" w:lineRule="auto" w:before="328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4</w:t>
      </w:r>
    </w:p>
    <w:p>
      <w:pPr>
        <w:autoSpaceDN w:val="0"/>
        <w:autoSpaceDE w:val="0"/>
        <w:widowControl/>
        <w:spacing w:line="242" w:lineRule="auto" w:before="37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The UNCTAD BioTrade Initiative</w:t>
      </w:r>
    </w:p>
    <w:p>
      <w:pPr>
        <w:autoSpaceDN w:val="0"/>
        <w:autoSpaceDE w:val="0"/>
        <w:widowControl/>
        <w:spacing w:line="278" w:lineRule="auto" w:before="368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BioTrade Initiative assists developing countries in the formulation and implementation of National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BioTrade Programmes. It focuses on countries which are rich in biodiversity and whose governments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have a clear interest in developing a national capacity to promote biotrade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currently participating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countries are Bolivia, Brazil, Colombia, Costa Rica, Ecuador, Peru, Uganda,Venezuela and Viet Nam.</w:t>
      </w:r>
    </w:p>
    <w:p>
      <w:pPr>
        <w:autoSpaceDN w:val="0"/>
        <w:tabs>
          <w:tab w:pos="2128" w:val="left"/>
          <w:tab w:pos="2150" w:val="left"/>
        </w:tabs>
        <w:autoSpaceDE w:val="0"/>
        <w:widowControl/>
        <w:spacing w:line="288" w:lineRule="auto" w:before="3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BioTrade activities are generally oriented towards the production, transformation and commercialization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of products derived from the sustainable use of biological resources, or the provision of services derived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from such resources.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BioTrade products may include those coming from wild collection or from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cultivation practices.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latter refers to products derived from cultivation of native species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(domesticated and wild varieties) through activities such as agriculture or aquaculture. In this case,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cultivation is considered as a strategy to assure the conservation of endangered species and their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ecosystems. Products derived from wild collection include products such as fauna (e.g. ornamental fish),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fauna derivates (e.g. crocodile leather or meat) and flora (e.g. medicinal plants).</w:t>
      </w:r>
    </w:p>
    <w:p>
      <w:pPr>
        <w:autoSpaceDN w:val="0"/>
        <w:autoSpaceDE w:val="0"/>
        <w:widowControl/>
        <w:spacing w:line="286" w:lineRule="auto" w:before="356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Since 2003 the BioTrade Initiative has also hosted the BioTrade Facilitation Programme (BTFP) which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focuses on enhancing sustainable bio-resources management, product development, value adding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processing and marketing. The Biotrade Initiative is also aiming to develop ecolabelling for wildlife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products in the form of a BioTrade standard. This programme is aimed at promoting trade in wildlife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products that will help to alleviate poverty,contribute to sustainable development and help countries fulfil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their obligations under the CBD.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75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north-east Brazil, approximately 25 000 mainly local and indigenous people were involved 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commercial collection of the leaves of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Pilocarpus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spp. in the late 1990s for the production of a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single medicinal compound, pilocarpine (Pinheiro, 1997, cited in ten Kate and Laird, 1999).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Nepal, 470 000 Nepalese households were engaged in commercial collection of medicinal plants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the late 1990s (Olsen, 1999).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Cameroon, it was estimated in 1990 that one third of the people from the Oku Mountain region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supplement their income by collecting bark from African Cherry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Prunus africana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for export to the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pharmaceutical industry (Falconer, 1990).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peri-urban areas of Sub-Saharan Africa, tens of thousands of poor farmers and small traders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supplement their incomes by selling fuelwood.  Sometimes this activity even becomes their main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18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3898900</wp:posOffset>
            </wp:positionH>
            <wp:positionV relativeFrom="page">
              <wp:posOffset>1511300</wp:posOffset>
            </wp:positionV>
            <wp:extent cx="2743200" cy="2781300"/>
            <wp:wrapNone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813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06" w:lineRule="exact" w:before="0" w:after="348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source of cash.  Notably, this includes also the poorest of the poor; for instance, many rural landless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people are among those specializing in fuelwood production (Vedeld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2004).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6" w:lineRule="exact" w:before="0" w:after="0"/>
        <w:ind w:left="0" w:right="15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case studies reinforce this finding that, despite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lack of recognition in national-level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accounting, for some individuals, households 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communities, wild resources can be a significant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source of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cash income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particularly in marginal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agricultural areas or where there are few other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livelihood opportunities: 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2" w:equalWidth="0"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93" w:lineRule="auto" w:before="0" w:after="66"/>
        <w:ind w:left="148" w:right="102" w:firstLine="0"/>
        <w:jc w:val="both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"Wildlife can bring two types of economic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benefit to developing peoples or countries.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First, wildlife may be used directly as food,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fodder, fuel or fibre. Second, that same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wildlife may be sold,providing communities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or countries with much-needed income. In </w:t>
      </w:r>
      <w:r>
        <w:rPr>
          <w:rFonts w:ascii="GillSansMT" w:hAnsi="GillSansMT" w:eastAsia="GillSansMT"/>
          <w:b/>
          <w:i/>
          <w:color w:val="222222"/>
          <w:sz w:val="22"/>
        </w:rPr>
        <w:t>some cases this income is a prominent item</w:t>
      </w:r>
    </w:p>
    <w:p>
      <w:pPr>
        <w:sectPr>
          <w:type w:val="nextColumn"/>
          <w:pgSz w:w="11713" w:h="16791"/>
          <w:pgMar w:top="678" w:right="1248" w:bottom="290" w:left="1416" w:header="720" w:footer="720" w:gutter="0"/>
          <w:cols w:space="720" w:num="2" w:equalWidth="0"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16"/>
        <w:gridCol w:w="3016"/>
        <w:gridCol w:w="3016"/>
      </w:tblGrid>
      <w:tr>
        <w:trPr>
          <w:trHeight w:hRule="exact" w:val="278"/>
        </w:trPr>
        <w:tc>
          <w:tcPr>
            <w:tcW w:type="dxa" w:w="16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12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•</w:t>
            </w:r>
          </w:p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1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The wild meat case study reveals estimates of</w:t>
            </w:r>
          </w:p>
        </w:tc>
        <w:tc>
          <w:tcPr>
            <w:tcW w:type="dxa" w:w="4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in national budgets; even where it is</w:t>
            </w:r>
          </w:p>
        </w:tc>
      </w:tr>
      <w:tr>
        <w:trPr>
          <w:trHeight w:hRule="exact" w:val="240"/>
        </w:trPr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2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negligible in GNP terms it is generally</w:t>
            </w:r>
          </w:p>
        </w:tc>
      </w:tr>
      <w:tr>
        <w:trPr>
          <w:trHeight w:hRule="exact" w:val="80"/>
        </w:trPr>
        <w:tc>
          <w:tcPr>
            <w:tcW w:type="dxa" w:w="3016"/>
            <w:vMerge/>
            <w:tcBorders/>
          </w:tcPr>
          <w:p/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contributions of up to 34% of household income</w:t>
            </w:r>
          </w:p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2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important and sometimes vital for the</w:t>
            </w:r>
          </w:p>
        </w:tc>
      </w:tr>
      <w:tr>
        <w:trPr>
          <w:trHeight w:hRule="exact" w:val="80"/>
        </w:trPr>
        <w:tc>
          <w:tcPr>
            <w:tcW w:type="dxa" w:w="3016"/>
            <w:vMerge/>
            <w:tcBorders/>
          </w:tcPr>
          <w:p/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 East and Southern Africa (Barnett, 2000).  A</w:t>
            </w:r>
          </w:p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2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communities most closely concerned with</w:t>
            </w:r>
          </w:p>
        </w:tc>
      </w:tr>
      <w:tr>
        <w:trPr>
          <w:trHeight w:hRule="exact" w:val="80"/>
        </w:trPr>
        <w:tc>
          <w:tcPr>
            <w:tcW w:type="dxa" w:w="3016"/>
            <w:vMerge/>
            <w:tcBorders/>
          </w:tcPr>
          <w:p/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recent study found that an average hunter in</w:t>
            </w:r>
          </w:p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2" w:after="0"/>
              <w:ind w:left="15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the trade." </w:t>
            </w:r>
          </w:p>
        </w:tc>
      </w:tr>
      <w:tr>
        <w:trPr>
          <w:trHeight w:hRule="exact" w:val="80"/>
        </w:trPr>
        <w:tc>
          <w:tcPr>
            <w:tcW w:type="dxa" w:w="3016"/>
            <w:vMerge/>
            <w:tcBorders/>
          </w:tcPr>
          <w:p/>
        </w:tc>
        <w:tc>
          <w:tcPr>
            <w:tcW w:type="dxa" w:w="45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Gile game reserve in Mozambique could earn</w:t>
            </w:r>
          </w:p>
        </w:tc>
        <w:tc>
          <w:tcPr>
            <w:tcW w:type="dxa" w:w="3016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3016"/>
            <w:vMerge/>
            <w:tcBorders/>
          </w:tcPr>
          <w:p/>
        </w:tc>
        <w:tc>
          <w:tcPr>
            <w:tcW w:type="dxa" w:w="3016"/>
            <w:vMerge/>
            <w:tcBorders/>
          </w:tcPr>
          <w:p/>
        </w:tc>
        <w:tc>
          <w:tcPr>
            <w:tcW w:type="dxa" w:w="4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Prescott-Allen and Prescott-Allen (1982).</w:t>
            </w:r>
          </w:p>
        </w:tc>
      </w:tr>
      <w:tr>
        <w:trPr>
          <w:trHeight w:hRule="exact" w:val="320"/>
        </w:trPr>
        <w:tc>
          <w:tcPr>
            <w:tcW w:type="dxa" w:w="3016"/>
            <w:vMerge/>
            <w:tcBorders/>
          </w:tcPr>
          <w:p/>
        </w:tc>
        <w:tc>
          <w:tcPr>
            <w:tcW w:type="dxa" w:w="4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around USD29 over four months from sales of</w:t>
            </w:r>
          </w:p>
        </w:tc>
        <w:tc>
          <w:tcPr>
            <w:tcW w:type="dxa" w:w="3016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316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meat compared to an average annual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income from crop sales of USD49 (Fusari and Carpaneto, 2006). Similar findings have been noted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Central Africa (de Merode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2004).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marine ornamental trade provides income for poor people in coastal communities where few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other livelihood options exist and where there is dwindling production from capture fisheries.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the Philippines, most people who target seahorses are subsistence fishers who derive their main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cash income from these species, allowing them to buy rice and other food (Vincent, 1997).  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Palawan and the central Philippines, seahorse fishers and traders reported that seahorses contributed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approximately 30–40% to their annual income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although sometimes reaching 80%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up to 90-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100% in the main seahorse fishing season.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While the caiman skin trade generates a low income for ranchers compared to cattle, income earned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through, for example, the collection of eggs or neonates, can be significant for the poor and landless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with few other income-generating opportunities (Thorbjarnarson, 1999).</w:t>
      </w:r>
    </w:p>
    <w:p>
      <w:pPr>
        <w:autoSpaceDN w:val="0"/>
        <w:autoSpaceDE w:val="0"/>
        <w:widowControl/>
        <w:spacing w:line="320" w:lineRule="exact" w:before="32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amount and relative significance of income from wildlife to rural households varies hugely and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 depends on the degree to which households are incorporated into a cash economy (Belcher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2007).  For primarily subsistence households the total amount of income generated by selling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resources is generally very low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but it may be the main, or only, source of cash.  In Colombia,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example, nearly 200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pescadores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fish for ornamental species along the Iniridia, Orinoco and Atabapo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rivers.  The fishery is especially important since there exist few alternative sources of income (van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Andel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2003).  In less remote areas, wildlife harvesting or cultivation may help diversify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58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19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2362200</wp:posOffset>
            </wp:positionV>
            <wp:extent cx="5753100" cy="4140200"/>
            <wp:wrapNone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402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livelihoods that are predominantly based on agriculture and may provide important supplementary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income, especially at difficult times of the year.  Some households, with good links to potential markets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with access to potentially high value products, may derive the major part of their household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from wildlife trade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Box 5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 The World Bank estimates that overall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forest products provide roughly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20% of poor rural families’ “income”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which half is cash and half is in the form of subsistence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goods (Vedeld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2004). </w:t>
      </w:r>
    </w:p>
    <w:p>
      <w:pPr>
        <w:autoSpaceDN w:val="0"/>
        <w:autoSpaceDE w:val="0"/>
        <w:widowControl/>
        <w:spacing w:line="240" w:lineRule="auto" w:before="494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5</w:t>
      </w:r>
    </w:p>
    <w:p>
      <w:pPr>
        <w:autoSpaceDN w:val="0"/>
        <w:autoSpaceDE w:val="0"/>
        <w:widowControl/>
        <w:spacing w:line="240" w:lineRule="auto" w:before="372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The scale and significance of income from wildlife products</w:t>
      </w:r>
    </w:p>
    <w:p>
      <w:pPr>
        <w:autoSpaceDN w:val="0"/>
        <w:tabs>
          <w:tab w:pos="1120" w:val="left"/>
        </w:tabs>
        <w:autoSpaceDE w:val="0"/>
        <w:widowControl/>
        <w:spacing w:line="276" w:lineRule="auto" w:before="38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424242"/>
          <w:sz w:val="20"/>
        </w:rPr>
        <w:t>Cambodia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Resin collection, primarily for export to Viet Nam for use in the boat building industry, can earn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families KHR150 000–200 000 (USD38–50) per month (Global Witness, 2001).</w:t>
      </w:r>
    </w:p>
    <w:p>
      <w:pPr>
        <w:autoSpaceDN w:val="0"/>
        <w:tabs>
          <w:tab w:pos="1120" w:val="left"/>
        </w:tabs>
        <w:autoSpaceDE w:val="0"/>
        <w:widowControl/>
        <w:spacing w:line="276" w:lineRule="auto" w:before="68" w:after="0"/>
        <w:ind w:left="70" w:right="432" w:firstLine="0"/>
        <w:jc w:val="left"/>
      </w:pPr>
      <w:r>
        <w:rPr>
          <w:rFonts w:ascii="GillSansMT" w:hAnsi="GillSansMT" w:eastAsia="GillSansMT"/>
          <w:b/>
          <w:i w:val="0"/>
          <w:color w:val="424242"/>
          <w:sz w:val="20"/>
        </w:rPr>
        <w:t>Cameroon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Harvesters of edible palm weevil larvae average a monthly income of USD71, compared to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USD28 for cocoa producers (Burgener, 2007).</w:t>
      </w:r>
    </w:p>
    <w:p>
      <w:pPr>
        <w:autoSpaceDN w:val="0"/>
        <w:tabs>
          <w:tab w:pos="1120" w:val="left"/>
        </w:tabs>
        <w:autoSpaceDE w:val="0"/>
        <w:widowControl/>
        <w:spacing w:line="276" w:lineRule="auto" w:before="68" w:after="0"/>
        <w:ind w:left="70" w:right="144" w:firstLine="0"/>
        <w:jc w:val="left"/>
      </w:pPr>
      <w:r>
        <w:rPr>
          <w:rFonts w:ascii="GillSansMT" w:hAnsi="GillSansMT" w:eastAsia="GillSansMT"/>
          <w:b/>
          <w:i w:val="0"/>
          <w:color w:val="424242"/>
          <w:sz w:val="20"/>
        </w:rPr>
        <w:t xml:space="preserve">China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One kilogramme of matsutake mushrooms can earn a harvester more money than the average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annual wage in Yunnan Province (FAO, 1999).</w:t>
      </w:r>
    </w:p>
    <w:p>
      <w:pPr>
        <w:autoSpaceDN w:val="0"/>
        <w:autoSpaceDE w:val="0"/>
        <w:widowControl/>
        <w:spacing w:line="276" w:lineRule="auto" w:before="68" w:after="0"/>
        <w:ind w:left="70" w:right="144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In the Arabuko-Sokoke Forest, hunters can earn USD275 per year by selling meat compared to </w:t>
      </w:r>
      <w:r>
        <w:rPr>
          <w:rFonts w:ascii="GillSansMT" w:hAnsi="GillSansMT" w:eastAsia="GillSansMT"/>
          <w:b/>
          <w:i w:val="0"/>
          <w:color w:val="424242"/>
          <w:sz w:val="20"/>
        </w:rPr>
        <w:t xml:space="preserve">Kenya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an average per capita income in this area of USD38 (Bennett and Robinson, 2000).</w:t>
      </w:r>
    </w:p>
    <w:p>
      <w:pPr>
        <w:autoSpaceDN w:val="0"/>
        <w:tabs>
          <w:tab w:pos="1120" w:val="left"/>
        </w:tabs>
        <w:autoSpaceDE w:val="0"/>
        <w:widowControl/>
        <w:spacing w:line="293" w:lineRule="auto" w:before="68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424242"/>
          <w:sz w:val="20"/>
        </w:rPr>
        <w:t xml:space="preserve">Kenya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Woodcarvers can earn at least USD1125 per month selling through a co-operative (Choge,2004). </w:t>
      </w:r>
      <w:r>
        <w:rPr>
          <w:rFonts w:ascii="GillSansMT" w:hAnsi="GillSansMT" w:eastAsia="GillSansMT"/>
          <w:b/>
          <w:i w:val="0"/>
          <w:color w:val="424242"/>
          <w:sz w:val="20"/>
        </w:rPr>
        <w:t xml:space="preserve">Peru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The capture of a single mouth-brooding male Silver Arowana Fish </w:t>
      </w:r>
      <w:r>
        <w:rPr>
          <w:rFonts w:ascii="GillSansMT" w:hAnsi="GillSansMT" w:eastAsia="GillSansMT"/>
          <w:b w:val="0"/>
          <w:i/>
          <w:color w:val="000000"/>
          <w:sz w:val="20"/>
        </w:rPr>
        <w:t>Osteoglossum bicirrhosum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in Isla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Verde or San Juan represents cash earnings of USD12–230 compared to an average daily wage of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USD2–3 (Moreau and Coomes, 2006).</w:t>
      </w:r>
    </w:p>
    <w:p>
      <w:pPr>
        <w:autoSpaceDN w:val="0"/>
        <w:tabs>
          <w:tab w:pos="1120" w:val="left"/>
        </w:tabs>
        <w:autoSpaceDE w:val="0"/>
        <w:widowControl/>
        <w:spacing w:line="276" w:lineRule="auto" w:before="68" w:after="0"/>
        <w:ind w:left="70" w:right="432" w:firstLine="0"/>
        <w:jc w:val="left"/>
      </w:pPr>
      <w:r>
        <w:rPr>
          <w:rFonts w:ascii="GillSansMT" w:hAnsi="GillSansMT" w:eastAsia="GillSansMT"/>
          <w:b/>
          <w:i w:val="0"/>
          <w:color w:val="424242"/>
          <w:sz w:val="20"/>
        </w:rPr>
        <w:t>South Africa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Medicinal plant sellers earn a mean annual income of USD2680 (Botha </w:t>
      </w:r>
      <w:r>
        <w:rPr>
          <w:rFonts w:ascii="GillSansMT" w:hAnsi="GillSansMT" w:eastAsia="GillSansMT"/>
          <w:b w:val="0"/>
          <w:i/>
          <w:color w:val="000000"/>
          <w:sz w:val="20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., 2004 in World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Resources Institute, 2005).</w:t>
      </w:r>
    </w:p>
    <w:p>
      <w:pPr>
        <w:autoSpaceDN w:val="0"/>
        <w:tabs>
          <w:tab w:pos="1120" w:val="left"/>
        </w:tabs>
        <w:autoSpaceDE w:val="0"/>
        <w:widowControl/>
        <w:spacing w:line="288" w:lineRule="auto" w:before="68" w:after="0"/>
        <w:ind w:left="70" w:right="288" w:firstLine="0"/>
        <w:jc w:val="left"/>
      </w:pPr>
      <w:r>
        <w:rPr>
          <w:rFonts w:ascii="GillSansMT" w:hAnsi="GillSansMT" w:eastAsia="GillSansMT"/>
          <w:b/>
          <w:i w:val="0"/>
          <w:color w:val="424242"/>
          <w:sz w:val="20"/>
        </w:rPr>
        <w:t xml:space="preserve">Southern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At least 9000 rural people in Botswana, Namibia and to a lesser extent South Africa rely on </w:t>
      </w:r>
      <w:r>
        <w:rPr>
          <w:rFonts w:ascii="GillSansMT" w:hAnsi="GillSansMT" w:eastAsia="GillSansMT"/>
          <w:b/>
          <w:i w:val="0"/>
          <w:color w:val="424242"/>
          <w:sz w:val="20"/>
        </w:rPr>
        <w:t xml:space="preserve">Africa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harvesting Devil’s Claw </w:t>
      </w:r>
      <w:r>
        <w:rPr>
          <w:rFonts w:ascii="GillSansMT" w:hAnsi="GillSansMT" w:eastAsia="GillSansMT"/>
          <w:b w:val="0"/>
          <w:i/>
          <w:color w:val="000000"/>
          <w:sz w:val="20"/>
        </w:rPr>
        <w:t xml:space="preserve">Harpagophytum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spp.</w:t>
      </w:r>
      <w:r>
        <w:rPr>
          <w:rFonts w:ascii="GillSansMT" w:hAnsi="GillSansMT" w:eastAsia="GillSansMT"/>
          <w:b w:val="0"/>
          <w:i/>
          <w:color w:val="000000"/>
          <w:sz w:val="20"/>
        </w:rPr>
        <w:t>,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often as their only source of income (Wynberg,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2004).</w:t>
      </w:r>
    </w:p>
    <w:p>
      <w:pPr>
        <w:autoSpaceDN w:val="0"/>
        <w:autoSpaceDE w:val="0"/>
        <w:widowControl/>
        <w:spacing w:line="320" w:lineRule="exact" w:before="846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Furthermore, the case studies demonstrate that many of the beneficiaries of wildlife trade are amongst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poorest of the poor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targets of MDG 1: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Coastal, and in particular reef, fisheries are of great importance to poor communities as they can be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exploited by people of all ages and abilities with little or no capital investment required (Gonzales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2006; Whittingham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2003).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Bolivia, it is estimated that over 60% of the income from the trade in Yacare Caiman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Caiman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yacare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leather benefited indigenous populations compared to just under 40% for private ranch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owners (Aparicio and Rios, 2006).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the district of San Cristobal, Peru, community members involved in the trade in Vicuña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Vicugna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vicugna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wool can collectively earn about USD50 000 a year (Roe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2002).  This kind of money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58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20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4572000</wp:posOffset>
            </wp:positionH>
            <wp:positionV relativeFrom="page">
              <wp:posOffset>6248400</wp:posOffset>
            </wp:positionV>
            <wp:extent cx="2070100" cy="1320800"/>
            <wp:wrapNone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3208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0" w:lineRule="exact" w:before="0" w:after="0"/>
        <w:ind w:left="288" w:right="28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highly significant when it is considered that the range of the Vicuña coincides with the home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some of the poorest people in South America, who inhabit a region with harsh climatic conditions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that reduce options for agriculture and limit economic activities. </w:t>
      </w:r>
    </w:p>
    <w:p>
      <w:pPr>
        <w:autoSpaceDN w:val="0"/>
        <w:autoSpaceDE w:val="0"/>
        <w:widowControl/>
        <w:spacing w:line="320" w:lineRule="exact" w:before="320" w:after="0"/>
        <w:ind w:left="0" w:right="28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case studies also demonstrate contributions of sustainable wildlife trade to the additional target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MDG 1 in terms of providing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employment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different sectors of society, e.g. women.  The marine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ornamental industry, for example, involves a range of different groups including the collectors who use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boats or swim, women who glean on shallow reefs, packers, cleaners and others who work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processing and exporting companies, many of whom get most of their yearly income from the business.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Similarly the wild meat case study notes that a wide spread of opportunities with men as hunters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middlemen and women as traders/sellers.  Furthermore, Brown and Williams (2003) note that in “West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Central Africa, hunting is traditionally undertaken by young men at an early stage of the family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cycle, to accumulate capital which is later invested in setting up enterprises with a longer time horizon,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such as export crop production and petty trade.  It thus provides a stepping stone to greater prosperity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a social category that might otherwise be problematic for society.” 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Wildlife trade and food security (MDG 1)</w:t>
      </w:r>
    </w:p>
    <w:p>
      <w:pPr>
        <w:autoSpaceDN w:val="0"/>
        <w:autoSpaceDE w:val="0"/>
        <w:widowControl/>
        <w:spacing w:line="320" w:lineRule="exact" w:before="316" w:after="348"/>
        <w:ind w:left="0" w:right="28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Sustainable wildlife trade can help enhance food security both directly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providing consumers with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valuable, affordable source of protein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indirectly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by increasing the amount of cash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household that is available to spend on food.  The wild meat case study highlights the role that the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plays in the livelihoods of many people in Eastern and Southern Africa. Beyond its importance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day-to-day economies of rural people, wild meat also acts as a safety net during times of famine, civil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strife or other forms of disruption to which the rural poor are particularly vulnerable.  Wild meat is also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important where domestic meat is prohibitively expensive or largely unavailable. </w:t>
      </w:r>
    </w:p>
    <w:p>
      <w:pPr>
        <w:sectPr>
          <w:pgSz w:w="11713" w:h="16791"/>
          <w:pgMar w:top="678" w:right="1240" w:bottom="290" w:left="1416" w:header="720" w:footer="720" w:gutter="0"/>
          <w:cols w:space="720" w:num="1" w:equalWidth="0"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6" w:lineRule="exact" w:before="0" w:after="0"/>
        <w:ind w:left="0" w:right="10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fisheries products described in the case study for this report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all high-value products and generally not components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poor people’s diets.  Nevertheless, their trade can have 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impact on food security. In the Philippines, for example, most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people who target seahorses are subsistence fishers who derive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main cash income from these species, allowing them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buy rice and other food (Vincent, 1997).</w:t>
      </w:r>
    </w:p>
    <w:p>
      <w:pPr>
        <w:autoSpaceDN w:val="0"/>
        <w:autoSpaceDE w:val="0"/>
        <w:widowControl/>
        <w:spacing w:line="320" w:lineRule="exact" w:before="320" w:after="0"/>
        <w:ind w:left="0" w:right="10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importance of fisheries for food security highlights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importance of a well-managed trade, however. 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components of the fish trade considered in this report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ornamentals, live food, and seahorses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all in decline,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driving local fishermen to employ unsustainable practices such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using cyanide or harvesting juveniles or pregnant adults (and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hence depleting breeding stocks) or taking a risk of investing in</w:t>
      </w:r>
    </w:p>
    <w:p>
      <w:pPr>
        <w:sectPr>
          <w:type w:val="continuous"/>
          <w:pgSz w:w="11713" w:h="16791"/>
          <w:pgMar w:top="678" w:right="1240" w:bottom="290" w:left="1416" w:header="720" w:footer="720" w:gutter="0"/>
          <w:cols w:space="720" w:num="2" w:equalWidth="0"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90" w:lineRule="auto" w:before="0" w:after="616"/>
        <w:ind w:left="194" w:right="0" w:firstLine="0"/>
        <w:jc w:val="left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"Our paddy was flooded last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year so we came to fish, collect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mushrooms and wildlife to sell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to buy rice." </w:t>
      </w:r>
      <w:r>
        <w:br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Villager from Xe Pain, Lao PDR,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quoted in Singh </w:t>
      </w:r>
      <w:r>
        <w:rPr>
          <w:rFonts w:ascii="GillSansMT" w:hAnsi="GillSansMT" w:eastAsia="GillSansMT"/>
          <w:b/>
          <w:i w:val="0"/>
          <w:color w:val="222222"/>
          <w:sz w:val="22"/>
        </w:rPr>
        <w:t>et al.,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 2006a.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123.99999999999977" w:type="dxa"/>
      </w:tblPr>
      <w:tblGrid>
        <w:gridCol w:w="9057"/>
      </w:tblGrid>
      <w:tr>
        <w:trPr>
          <w:trHeight w:hRule="exact" w:val="1974"/>
        </w:trPr>
        <w:tc>
          <w:tcPr>
            <w:tcW w:type="dxa" w:w="3216"/>
            <w:tcBorders>
              <w:start w:sz="16.0" w:val="single" w:color="#222222"/>
              <w:top w:sz="16.0" w:val="single" w:color="#222222"/>
              <w:end w:sz="16.0" w:val="single" w:color="#222222"/>
              <w:bottom w:sz="16.0" w:val="single" w:color="#222222"/>
            </w:tcBorders>
            <w:shd w:fill="ffffff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1" w:lineRule="auto" w:before="0" w:after="32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"Usually if we need money then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we fish and sell the fish to buy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3.9999999999997726" w:type="dxa"/>
            </w:tblPr>
            <w:tblGrid>
              <w:gridCol w:w="643"/>
              <w:gridCol w:w="643"/>
              <w:gridCol w:w="643"/>
              <w:gridCol w:w="643"/>
              <w:gridCol w:w="643"/>
            </w:tblGrid>
            <w:tr>
              <w:trPr>
                <w:trHeight w:hRule="exact" w:val="308"/>
              </w:trPr>
              <w:tc>
                <w:tcPr>
                  <w:tcW w:type="dxa" w:w="66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32" w:after="0"/>
                    <w:ind w:left="0" w:right="0" w:firstLine="0"/>
                    <w:jc w:val="center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>food,</w:t>
                  </w:r>
                </w:p>
              </w:tc>
              <w:tc>
                <w:tcPr>
                  <w:tcW w:type="dxa" w:w="1020"/>
                  <w:gridSpan w:val="2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32" w:after="0"/>
                    <w:ind w:left="0" w:right="0" w:firstLine="0"/>
                    <w:jc w:val="center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clothes </w:t>
                  </w:r>
                </w:p>
              </w:tc>
              <w:tc>
                <w:tcPr>
                  <w:tcW w:type="dxa" w:w="66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32" w:after="0"/>
                    <w:ind w:left="56" w:right="0" w:firstLine="0"/>
                    <w:jc w:val="left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and </w:t>
                  </w:r>
                </w:p>
              </w:tc>
              <w:tc>
                <w:tcPr>
                  <w:tcW w:type="dxa" w:w="8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32" w:after="0"/>
                    <w:ind w:left="0" w:right="0" w:firstLine="0"/>
                    <w:jc w:val="center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>things."</w:t>
                  </w:r>
                </w:p>
              </w:tc>
            </w:tr>
            <w:tr>
              <w:trPr>
                <w:trHeight w:hRule="exact" w:val="332"/>
              </w:trPr>
              <w:tc>
                <w:tcPr>
                  <w:tcW w:type="dxa" w:w="980"/>
                  <w:gridSpan w:val="2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44" w:after="0"/>
                    <w:ind w:left="0" w:right="0" w:firstLine="0"/>
                    <w:jc w:val="center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Villager </w:t>
                  </w:r>
                </w:p>
              </w:tc>
              <w:tc>
                <w:tcPr>
                  <w:tcW w:type="dxa" w:w="7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44" w:after="0"/>
                    <w:ind w:left="126" w:right="0" w:firstLine="0"/>
                    <w:jc w:val="left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from </w:t>
                  </w:r>
                </w:p>
              </w:tc>
              <w:tc>
                <w:tcPr>
                  <w:tcW w:type="dxa" w:w="66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44" w:after="0"/>
                    <w:ind w:left="0" w:right="0" w:firstLine="0"/>
                    <w:jc w:val="right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Koh </w:t>
                  </w:r>
                </w:p>
              </w:tc>
              <w:tc>
                <w:tcPr>
                  <w:tcW w:type="dxa" w:w="8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44" w:after="0"/>
                    <w:ind w:left="0" w:right="18" w:firstLine="0"/>
                    <w:jc w:val="right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>Seng,</w:t>
                  </w:r>
                </w:p>
              </w:tc>
            </w:tr>
          </w:tbl>
          <w:p>
            <w:pPr>
              <w:autoSpaceDN w:val="0"/>
              <w:autoSpaceDE w:val="0"/>
              <w:widowControl/>
              <w:spacing w:line="271" w:lineRule="auto" w:before="32" w:after="0"/>
              <w:ind w:left="50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Cambodia, quoted in Singh </w:t>
            </w:r>
            <w:r>
              <w:rPr>
                <w:rFonts w:ascii="GillSansMT" w:hAnsi="GillSansMT" w:eastAsia="GillSansMT"/>
                <w:b/>
                <w:i w:val="0"/>
                <w:color w:val="222222"/>
                <w:sz w:val="22"/>
              </w:rPr>
              <w:t xml:space="preserve">et </w:t>
            </w:r>
            <w:r>
              <w:rPr>
                <w:rFonts w:ascii="GillSansMT" w:hAnsi="GillSansMT" w:eastAsia="GillSansMT"/>
                <w:b/>
                <w:i w:val="0"/>
                <w:color w:val="222222"/>
                <w:sz w:val="22"/>
              </w:rPr>
              <w:t>al.,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 2006b.</w:t>
            </w:r>
          </w:p>
        </w:tc>
      </w:tr>
    </w:tbl>
    <w:p>
      <w:pPr>
        <w:autoSpaceDN w:val="0"/>
        <w:autoSpaceDE w:val="0"/>
        <w:widowControl/>
        <w:spacing w:line="14" w:lineRule="exact" w:before="0" w:after="1646"/>
        <w:ind w:left="0" w:right="0"/>
      </w:pPr>
    </w:p>
    <w:p>
      <w:pPr>
        <w:sectPr>
          <w:type w:val="nextColumn"/>
          <w:pgSz w:w="11713" w:h="16791"/>
          <w:pgMar w:top="678" w:right="1240" w:bottom="290" w:left="1416" w:header="720" w:footer="720" w:gutter="0"/>
          <w:cols w:space="720" w:num="2" w:equalWidth="0"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8744" w:val="left"/>
        </w:tabs>
        <w:autoSpaceDE w:val="0"/>
        <w:widowControl/>
        <w:spacing w:line="242" w:lineRule="auto" w:before="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21</w:t>
      </w:r>
    </w:p>
    <w:p>
      <w:pPr>
        <w:sectPr>
          <w:type w:val="continuous"/>
          <w:pgSz w:w="11713" w:h="16791"/>
          <w:pgMar w:top="678" w:right="1240" w:bottom="290" w:left="1416" w:header="720" w:footer="720" w:gutter="0"/>
          <w:cols w:space="720" w:num="1" w:equalWidth="0"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3860800</wp:posOffset>
            </wp:positionH>
            <wp:positionV relativeFrom="page">
              <wp:posOffset>901700</wp:posOffset>
            </wp:positionV>
            <wp:extent cx="2781300" cy="2933700"/>
            <wp:wrapNone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933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8" w:lineRule="exact" w:before="0" w:after="0"/>
        <w:ind w:left="0" w:right="15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expensive equipment (motorized boats, diving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equipment, etc.) in order to maintain their catch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sizes and hence their incomes.  This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commonly comes at a substantial cost to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natural reef resources on which local communities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rely for food, coastal protection and other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ecological services.  Conversely, if well managed,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trade in high value species such as seahorses,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Humphead Wrasse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Cheilinus undulatus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certain ornamental fish, can not only promote their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own conservation but can also result in a reduction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unsustainable or destructive practices more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generally, and therefore have beneficial knock-on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effects on the conservation status of a broader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range of species that are important as local food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sources.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2" w:equalWidth="0"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1018" w:val="left"/>
          <w:tab w:pos="4012" w:val="left"/>
          <w:tab w:pos="4268" w:val="left"/>
        </w:tabs>
        <w:autoSpaceDE w:val="0"/>
        <w:widowControl/>
        <w:spacing w:line="298" w:lineRule="auto" w:before="0" w:after="890"/>
        <w:ind w:left="148" w:right="0" w:firstLine="0"/>
        <w:jc w:val="left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"The fish that I catch everyday to feed my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children is a product of long hours of hard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work to make both ends meet.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My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youngest child is sickly and very small.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I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know he should have good food, but it is a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struggle when circumstances are not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favourable to make a living. The reefs are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blasted and the fish I catch is lesser and are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smaller. Every year, I see more and more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fishers.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I even have to travel longer and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further to be able to bring home food."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Lucio, father of four children, fisherman,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Palawan, Philippines, cited in Castro </w:t>
      </w:r>
      <w:r>
        <w:rPr>
          <w:rFonts w:ascii="GillSansMT" w:hAnsi="GillSansMT" w:eastAsia="GillSansMT"/>
          <w:b/>
          <w:i w:val="0"/>
          <w:color w:val="222222"/>
          <w:sz w:val="22"/>
        </w:rPr>
        <w:t>et al.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, </w:t>
      </w:r>
      <w:r>
        <w:rPr>
          <w:rFonts w:ascii="GillSansMT" w:hAnsi="GillSansMT" w:eastAsia="GillSansMT"/>
          <w:b/>
          <w:i/>
          <w:color w:val="222222"/>
          <w:sz w:val="22"/>
        </w:rPr>
        <w:t>undated.</w:t>
      </w:r>
    </w:p>
    <w:p>
      <w:pPr>
        <w:sectPr>
          <w:type w:val="nextColumn"/>
          <w:pgSz w:w="11713" w:h="16791"/>
          <w:pgMar w:top="678" w:right="1248" w:bottom="290" w:left="1416" w:header="720" w:footer="720" w:gutter="0"/>
          <w:cols w:space="720" w:num="2" w:equalWidth="0"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Wildlife trade and access to education (MDG 2)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Clearly wildlife trade cannot make a direct contribution to MDG 2 “Achieve universal primary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education”.  Nevertheless, income from wildlife trade can provide a critical source of additional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which can make the difference between sending children to school or not (Roe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 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2002; Marshall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, 2006).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Wildlife trade and gender equality (MDG 3)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MDG target on gender equality relates directly to equality within education.  Wildlife trade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clearly not relevant here.  However as the discussion above on employment opportunities highlights,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 provides significant opportunities for the involvement and empowerment of women.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Women involved in the NTFP trade in Bolivia and Mexico experienced an elevated status within their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households and communities as a result of having an independent source of income (Marshall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2006).  Overall, FAO (2001) notes: “Traded products contribute to the fulfilment of daily needs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provide employment as well as income, particularly for rural people and especially for women”. 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Wildlife trade and health (MDGs 4, 5 and 6)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not directly addressed by the case studies in this report, sustainable wildlife trade can make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 major contribution to primary healthcare.  An enhanced protein supply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documented above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noted in the wild meat case study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in itself, hugely beneficial for human health, but beyond that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in wildlife-based medicines (of plant and animal origin) is a major component of wildlife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benefits millions of poor people.  The World Health Organization (WHO) (2003) estimates,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example, that up to 80% of the African population uses traditional medicine for primary health care.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22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4572000</wp:posOffset>
            </wp:positionH>
            <wp:positionV relativeFrom="page">
              <wp:posOffset>4356100</wp:posOffset>
            </wp:positionV>
            <wp:extent cx="2070100" cy="3124200"/>
            <wp:wrapNone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31242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Those that are not able to collect or harvest medicinal plants and animal products themselves are reliant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on the trade for access to these products.  This is particularly important in areas where more “modern”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packaged medicines are relatively costly, there is difficult access modern healthcare facilities or there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high ratios of traditional medicine practitioners to patients.  The trade in medicinal plants also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underpins healthcare systems in much of Asia.  The fisheries case study highlights the importance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seahorses in traditional Chinese medicines.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Unregulated wildlife trade can, however, have unexpected negative implications for human health.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Chivian (2003) notes that Chimpanzees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Pan troglodytes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believed to be the original source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HIV-1 epidemic, caused by the transmission of Chimpanzee simian immunodeficiency virus (SIVcpz)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humans through the consumption of Chimpanzee meat.  The continued trade in wild meat may not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only result in exposure to other strains of SIV but, where it threatens primates with extinction, “may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also prevent full understanding of the dynamics of HIV/AIDS infections, and success in discovering 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effective treatment” (Chivian, 2003).</w:t>
      </w:r>
    </w:p>
    <w:p>
      <w:pPr>
        <w:autoSpaceDN w:val="0"/>
        <w:autoSpaceDE w:val="0"/>
        <w:widowControl/>
        <w:spacing w:line="240" w:lineRule="auto" w:before="318" w:after="344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Wildlife trade and environmental sustainability (MDG 7)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8" w:lineRule="exact" w:before="0" w:after="0"/>
        <w:ind w:left="0" w:right="15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is growing recognition that sustainable, long-term,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poverty reduction is dependent on a secure natural resource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base.  The MA highlights the linkages between that natural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resource base and human well-being: biodiversity underpins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delivery of a range of ecosystem services upon which all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humanity depends.  Well-managed wildlife trade based 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sustainable off-take levels can provide incentives for conser-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vation and hence secure the natural resource base on which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many poor people’s livelihoods depend.  Allowing a controlled,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sustainable trade in skins and wool from some previously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threatened species in Latin America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including caimans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Vicuña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considered important in securing the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status of these species.</w:t>
      </w:r>
    </w:p>
    <w:p>
      <w:pPr>
        <w:autoSpaceDN w:val="0"/>
        <w:autoSpaceDE w:val="0"/>
        <w:widowControl/>
        <w:spacing w:line="320" w:lineRule="exact" w:before="320" w:after="0"/>
        <w:ind w:left="0" w:right="144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case studies highlight that, to date, however, much trade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wildlife has not been well managed and as a result, ecological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2" w:equalWidth="0"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88" w:lineRule="auto" w:before="0" w:after="34"/>
        <w:ind w:left="148" w:right="102" w:firstLine="0"/>
        <w:jc w:val="both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"Given the impact of trade on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consumption patterns it is not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surprising that while trades in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natural resources is incredibly </w:t>
      </w:r>
      <w:r>
        <w:rPr>
          <w:rFonts w:ascii="GillSansMT" w:hAnsi="GillSansMT" w:eastAsia="GillSansMT"/>
          <w:b/>
          <w:i/>
          <w:color w:val="222222"/>
          <w:sz w:val="22"/>
        </w:rPr>
        <w:t>important for local livelihoods,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62.000000000000455" w:type="dxa"/>
      </w:tblPr>
      <w:tblGrid>
        <w:gridCol w:w="2262"/>
        <w:gridCol w:w="2262"/>
        <w:gridCol w:w="2262"/>
        <w:gridCol w:w="2262"/>
      </w:tblGrid>
      <w:tr>
        <w:trPr>
          <w:trHeight w:hRule="exact" w:val="320"/>
        </w:trPr>
        <w:tc>
          <w:tcPr>
            <w:tcW w:type="dxa" w:w="14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unregulated </w:t>
            </w:r>
          </w:p>
        </w:tc>
        <w:tc>
          <w:tcPr>
            <w:tcW w:type="dxa" w:w="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trade </w:t>
            </w:r>
          </w:p>
        </w:tc>
        <w:tc>
          <w:tcPr>
            <w:tcW w:type="dxa" w:w="4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is </w:t>
            </w:r>
          </w:p>
        </w:tc>
        <w:tc>
          <w:tcPr>
            <w:tcW w:type="dxa" w:w="5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also</w:t>
            </w:r>
          </w:p>
        </w:tc>
      </w:tr>
    </w:tbl>
    <w:p>
      <w:pPr>
        <w:autoSpaceDN w:val="0"/>
        <w:tabs>
          <w:tab w:pos="1798" w:val="left"/>
        </w:tabs>
        <w:autoSpaceDE w:val="0"/>
        <w:widowControl/>
        <w:spacing w:line="286" w:lineRule="auto" w:before="32" w:after="34"/>
        <w:ind w:left="148" w:right="0" w:firstLine="0"/>
        <w:jc w:val="left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regarded by villagers as an issue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of concern.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For instance,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villagers often attribute declines </w:t>
      </w:r>
      <w:r>
        <w:rPr>
          <w:rFonts w:ascii="GillSansMT" w:hAnsi="GillSansMT" w:eastAsia="GillSansMT"/>
          <w:b/>
          <w:i/>
          <w:color w:val="222222"/>
          <w:sz w:val="22"/>
        </w:rPr>
        <w:t>in fish catches to increased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62.000000000000455" w:type="dxa"/>
      </w:tblPr>
      <w:tblGrid>
        <w:gridCol w:w="2262"/>
        <w:gridCol w:w="2262"/>
        <w:gridCol w:w="2262"/>
        <w:gridCol w:w="2262"/>
      </w:tblGrid>
      <w:tr>
        <w:trPr>
          <w:trHeight w:hRule="exact" w:val="320"/>
        </w:trPr>
        <w:tc>
          <w:tcPr>
            <w:tcW w:type="dxa" w:w="9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trading </w:t>
            </w:r>
          </w:p>
        </w:tc>
        <w:tc>
          <w:tcPr>
            <w:tcW w:type="dxa" w:w="4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in </w:t>
            </w:r>
          </w:p>
        </w:tc>
        <w:tc>
          <w:tcPr>
            <w:tcW w:type="dxa" w:w="6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fish,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132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sometimes</w:t>
            </w:r>
          </w:p>
        </w:tc>
      </w:tr>
    </w:tbl>
    <w:p>
      <w:pPr>
        <w:autoSpaceDN w:val="0"/>
        <w:autoSpaceDE w:val="0"/>
        <w:widowControl/>
        <w:spacing w:line="286" w:lineRule="auto" w:before="32" w:after="288"/>
        <w:ind w:left="148" w:right="102" w:firstLine="0"/>
        <w:jc w:val="both"/>
      </w:pPr>
      <w:r>
        <w:rPr>
          <w:rFonts w:ascii="GillSansMT" w:hAnsi="GillSansMT" w:eastAsia="GillSansMT"/>
          <w:b/>
          <w:i/>
          <w:color w:val="222222"/>
          <w:sz w:val="22"/>
        </w:rPr>
        <w:t>specifically identifying large-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scale trade to foreign countries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as the key concern."  Singh </w:t>
      </w:r>
      <w:r>
        <w:rPr>
          <w:rFonts w:ascii="GillSansMT" w:hAnsi="GillSansMT" w:eastAsia="GillSansMT"/>
          <w:b/>
          <w:i w:val="0"/>
          <w:color w:val="222222"/>
          <w:sz w:val="22"/>
        </w:rPr>
        <w:t xml:space="preserve">et </w:t>
      </w:r>
      <w:r>
        <w:rPr>
          <w:rFonts w:ascii="GillSansMT" w:hAnsi="GillSansMT" w:eastAsia="GillSansMT"/>
          <w:b/>
          <w:i w:val="0"/>
          <w:color w:val="222222"/>
          <w:sz w:val="22"/>
        </w:rPr>
        <w:t>al.,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 2006a.</w:t>
      </w:r>
    </w:p>
    <w:p>
      <w:pPr>
        <w:sectPr>
          <w:type w:val="nextColumn"/>
          <w:pgSz w:w="11713" w:h="16791"/>
          <w:pgMar w:top="678" w:right="1248" w:bottom="290" w:left="1416" w:header="720" w:footer="720" w:gutter="0"/>
          <w:cols w:space="720" w:num="2" w:equalWidth="0"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degradation has occurred.  Trade in wild meat in East and Southern Africa is largely illegal.  As a result,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the trade continues in a clandestine way, there is little incentive for the rural poor to engage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sustainable management of wildlife resources and significant population depletions have occurred.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Similarly, the fisheries case study highlights how unsustainable practices, such as the use of cyanide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stun fish and facilitate their capture, are considered to be a major threat to reefs across the Indo-Pacific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especially in South-east Asia. 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22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23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4572000</wp:posOffset>
            </wp:positionH>
            <wp:positionV relativeFrom="page">
              <wp:posOffset>901700</wp:posOffset>
            </wp:positionV>
            <wp:extent cx="2070100" cy="1917700"/>
            <wp:wrapNone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917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1713" w:h="16791"/>
          <w:pgMar w:top="678" w:right="1240" w:bottom="290" w:left="1416" w:header="720" w:footer="720" w:gutter="0"/>
          <w:cols w:space="720" w:num="1" w:equalWidth="0"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8" w:lineRule="exact" w:before="0" w:after="0"/>
        <w:ind w:left="0" w:right="15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MA warns, however, that such degradation of ecosystem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services poses a significant barrier to the achievement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MDGs (Millennium Ecosystem Assessment, 2005a).  The MA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identified five direct drivers of biodiversity loss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habitat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change, over-exploitation, invasive species, pollution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climate change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reflecting external pressures such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demographic change, socio-political, cultural or economic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factors and so on.  Unsustainable wildlife trade can both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contribute to the direct drivers (particularly habitat loss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over-exploitation), and be affected by the indirect drivers (in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particular cultural factors, demographics and economic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changes). </w:t>
      </w:r>
    </w:p>
    <w:p>
      <w:pPr>
        <w:sectPr>
          <w:type w:val="continuous"/>
          <w:pgSz w:w="11713" w:h="16791"/>
          <w:pgMar w:top="678" w:right="1240" w:bottom="290" w:left="1416" w:header="720" w:footer="720" w:gutter="0"/>
          <w:cols w:space="720" w:num="2" w:equalWidth="0"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730" w:val="left"/>
          <w:tab w:pos="1232" w:val="left"/>
          <w:tab w:pos="2224" w:val="left"/>
          <w:tab w:pos="2284" w:val="left"/>
          <w:tab w:pos="2684" w:val="left"/>
        </w:tabs>
        <w:autoSpaceDE w:val="0"/>
        <w:widowControl/>
        <w:spacing w:line="288" w:lineRule="auto" w:before="0" w:after="32"/>
        <w:ind w:left="148" w:right="0" w:firstLine="0"/>
        <w:jc w:val="left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"Wildlife trade has resulted in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the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introduction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of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many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invasive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species;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examples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include the introduction into </w:t>
      </w:r>
      <w:r>
        <w:rPr>
          <w:rFonts w:ascii="GillSansMT" w:hAnsi="GillSansMT" w:eastAsia="GillSansMT"/>
          <w:b/>
          <w:i/>
          <w:color w:val="222222"/>
          <w:sz w:val="22"/>
        </w:rPr>
        <w:t>Europe of American Mink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62.000000000000455" w:type="dxa"/>
      </w:tblPr>
      <w:tblGrid>
        <w:gridCol w:w="3019"/>
        <w:gridCol w:w="3019"/>
        <w:gridCol w:w="3019"/>
      </w:tblGrid>
      <w:tr>
        <w:trPr>
          <w:trHeight w:hRule="exact" w:val="320"/>
        </w:trPr>
        <w:tc>
          <w:tcPr>
            <w:tcW w:type="dxa" w:w="11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 w:val="0"/>
                <w:color w:val="222222"/>
                <w:sz w:val="22"/>
              </w:rPr>
              <w:t xml:space="preserve">Mustela </w:t>
            </w:r>
          </w:p>
        </w:tc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 w:val="0"/>
                <w:color w:val="222222"/>
                <w:sz w:val="22"/>
              </w:rPr>
              <w:t>vison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,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152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Red-eared</w:t>
            </w:r>
          </w:p>
        </w:tc>
      </w:tr>
    </w:tbl>
    <w:p>
      <w:pPr>
        <w:autoSpaceDN w:val="0"/>
        <w:autoSpaceDE w:val="0"/>
        <w:widowControl/>
        <w:spacing w:line="281" w:lineRule="auto" w:before="34" w:after="1238"/>
        <w:ind w:left="148" w:right="110" w:firstLine="0"/>
        <w:jc w:val="both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Terrapins </w:t>
      </w:r>
      <w:r>
        <w:rPr>
          <w:rFonts w:ascii="GillSansMT" w:hAnsi="GillSansMT" w:eastAsia="GillSansMT"/>
          <w:b/>
          <w:i w:val="0"/>
          <w:color w:val="222222"/>
          <w:sz w:val="22"/>
        </w:rPr>
        <w:t xml:space="preserve">Trachemys scripta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and numerous plant species." </w:t>
      </w:r>
      <w:r>
        <w:rPr>
          <w:rFonts w:ascii="GillSansMT" w:hAnsi="GillSansMT" w:eastAsia="GillSansMT"/>
          <w:b/>
          <w:i/>
          <w:color w:val="222222"/>
          <w:sz w:val="22"/>
        </w:rPr>
        <w:t>TRAFFIC, 2008.</w:t>
      </w:r>
    </w:p>
    <w:p>
      <w:pPr>
        <w:sectPr>
          <w:type w:val="nextColumn"/>
          <w:pgSz w:w="11713" w:h="16791"/>
          <w:pgMar w:top="678" w:right="1240" w:bottom="290" w:left="1416" w:header="720" w:footer="720" w:gutter="0"/>
          <w:cols w:space="720" w:num="2" w:equalWidth="0"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528"/>
        <w:gridCol w:w="4528"/>
      </w:tblGrid>
      <w:tr>
        <w:trPr>
          <w:trHeight w:hRule="exact" w:val="3154"/>
        </w:trPr>
        <w:tc>
          <w:tcPr>
            <w:tcW w:type="dxa" w:w="4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0" w:after="0"/>
              <w:ind w:left="0" w:right="108" w:firstLine="0"/>
              <w:jc w:val="both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Unless it is sustainable and well managed,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wildlife trade can cause direct harm through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over-exploitation of targeted species, to the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point where the survival of a species hangs in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the balance</w:t>
            </w:r>
            <w:r>
              <w:rPr>
                <w:rFonts w:ascii="GillSansMT" w:hAnsi="GillSansMT" w:eastAsia="GillSansMT"/>
                <w:b w:val="0"/>
                <w:i w:val="0"/>
                <w:color w:val="000000"/>
                <w:sz w:val="22"/>
              </w:rPr>
              <w:t>—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the hunting of Tigers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Panthera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tigris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and rhinoceroses for traditional medicines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and artefacts are well-known examples.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Currently, nearly 30% of Globally Threatened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Birds (GTBs) are threatened by over-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exploitation, mainly through hunting for food</w:t>
            </w:r>
          </w:p>
        </w:tc>
        <w:tc>
          <w:tcPr>
            <w:tcW w:type="dxa" w:w="46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160" w:after="0"/>
              <w:ind w:left="120" w:right="0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2769870" cy="1864360"/>
                  <wp:docPr id="32" name="Picture 32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870" cy="186436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N w:val="0"/>
              <w:autoSpaceDE w:val="0"/>
              <w:widowControl/>
              <w:spacing w:line="188" w:lineRule="exact" w:before="0" w:after="0"/>
              <w:ind w:left="84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André Bärtschi/WWF-Canon </w:t>
            </w:r>
          </w:p>
        </w:tc>
      </w:tr>
    </w:tbl>
    <w:p>
      <w:pPr>
        <w:autoSpaceDN w:val="0"/>
        <w:autoSpaceDE w:val="0"/>
        <w:widowControl/>
        <w:spacing w:line="14" w:lineRule="exact" w:before="0" w:after="26"/>
        <w:ind w:left="0" w:right="0"/>
      </w:pPr>
    </w:p>
    <w:p>
      <w:pPr>
        <w:sectPr>
          <w:type w:val="continuous"/>
          <w:pgSz w:w="11713" w:h="16791"/>
          <w:pgMar w:top="678" w:right="1240" w:bottom="290" w:left="1416" w:header="720" w:footer="720" w:gutter="0"/>
          <w:cols w:space="720" w:num="1" w:equalWidth="0"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2" w:lineRule="exact" w:before="0" w:after="0"/>
        <w:ind w:left="0" w:right="11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trapping for the cage-bird trade.  For some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that are especially highly sought after,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over-exploitation is causing huge declines in</w:t>
      </w:r>
    </w:p>
    <w:p>
      <w:pPr>
        <w:sectPr>
          <w:type w:val="continuous"/>
          <w:pgSz w:w="11713" w:h="16791"/>
          <w:pgMar w:top="678" w:right="1240" w:bottom="290" w:left="1416" w:header="720" w:footer="720" w:gutter="0"/>
          <w:cols w:space="720" w:num="2" w:equalWidth="0"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54" w:lineRule="auto" w:before="0" w:after="490"/>
        <w:ind w:left="108" w:right="144" w:firstLine="0"/>
        <w:jc w:val="left"/>
      </w:pPr>
      <w:r>
        <w:rPr>
          <w:rFonts w:ascii="GillSansMT" w:hAnsi="GillSansMT" w:eastAsia="GillSansMT"/>
          <w:b/>
          <w:i w:val="0"/>
          <w:color w:val="A9A9A9"/>
          <w:sz w:val="20"/>
        </w:rPr>
        <w:t xml:space="preserve">Skinning a Collared Peccary </w:t>
      </w:r>
      <w:r>
        <w:rPr>
          <w:rFonts w:ascii="GillSansMT" w:hAnsi="GillSansMT" w:eastAsia="GillSansMT"/>
          <w:b/>
          <w:i/>
          <w:color w:val="A9A9A9"/>
          <w:sz w:val="20"/>
        </w:rPr>
        <w:t>Pecari tajacu</w:t>
      </w:r>
      <w:r>
        <w:rPr>
          <w:rFonts w:ascii="GillSansMT" w:hAnsi="GillSansMT" w:eastAsia="GillSansMT"/>
          <w:b/>
          <w:i w:val="0"/>
          <w:color w:val="A9A9A9"/>
          <w:sz w:val="20"/>
        </w:rPr>
        <w:t xml:space="preserve"> in the </w:t>
      </w:r>
      <w:r>
        <w:rPr>
          <w:rFonts w:ascii="GillSansMT" w:hAnsi="GillSansMT" w:eastAsia="GillSansMT"/>
          <w:b/>
          <w:i w:val="0"/>
          <w:color w:val="A9A9A9"/>
          <w:sz w:val="20"/>
        </w:rPr>
        <w:t>Alto Purus Reserved Zone, Ucayali, Peru.</w:t>
      </w:r>
    </w:p>
    <w:p>
      <w:pPr>
        <w:sectPr>
          <w:type w:val="nextColumn"/>
          <w:pgSz w:w="11713" w:h="16791"/>
          <w:pgMar w:top="678" w:right="1240" w:bottom="290" w:left="1416" w:header="720" w:footer="720" w:gutter="0"/>
          <w:cols w:space="720" w:num="2" w:equalWidth="0"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6" w:lineRule="exact" w:before="0" w:after="346"/>
        <w:ind w:left="0" w:right="28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both numbers and range, and is known to be the most significant threat to them (BirdLife International,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2004).  The MA highlights that, overall, up to 30% of mammal, bird and amphibian species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threatened with extinction (Millennium Ecosystem Assessment, 2005a).  Additional detail provided by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IUCN shows that one in four mammals, one in eight birds, and one third of all amphibians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threatened, as are over 8000 species of plants, fungi and algae.  Over-exploitation is identified as one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the main threats to wild species on the Red List, affecting approximately one third of threatened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mammal and bird species and also having a heavy impact marine species (IUCN, 2007a).</w:t>
      </w:r>
    </w:p>
    <w:p>
      <w:pPr>
        <w:sectPr>
          <w:type w:val="continuous"/>
          <w:pgSz w:w="11713" w:h="16791"/>
          <w:pgMar w:top="678" w:right="1240" w:bottom="290" w:left="1416" w:header="720" w:footer="720" w:gutter="0"/>
          <w:cols w:space="720" w:num="1" w:equalWidth="0"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6" w:lineRule="exact" w:before="0" w:after="0"/>
        <w:ind w:left="0" w:right="10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Unsustainable wildlife trade can also cause problems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elsewhere, as over-exploitation of one species disrupts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ecosystem structure and functions and, potentially, the delivery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essential ecosystem services.  Over-fishing, for example, not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only affects individual species but causes repercussions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whole marine system.  Invasive species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another key driver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identified by the MA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can also be associated with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trade.  It is therefore essential that wildlife trade is sustainable</w:t>
      </w:r>
    </w:p>
    <w:p>
      <w:pPr>
        <w:sectPr>
          <w:type w:val="continuous"/>
          <w:pgSz w:w="11713" w:h="16791"/>
          <w:pgMar w:top="678" w:right="1240" w:bottom="290" w:left="1416" w:header="720" w:footer="720" w:gutter="0"/>
          <w:cols w:space="720" w:num="2" w:equalWidth="0"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123.99999999999977" w:type="dxa"/>
      </w:tblPr>
      <w:tblGrid>
        <w:gridCol w:w="9057"/>
      </w:tblGrid>
      <w:tr>
        <w:trPr>
          <w:trHeight w:hRule="exact" w:val="2270"/>
        </w:trPr>
        <w:tc>
          <w:tcPr>
            <w:tcW w:type="dxa" w:w="3216"/>
            <w:tcBorders>
              <w:start w:sz="16.0" w:val="single" w:color="#222222"/>
              <w:top w:sz="16.0" w:val="single" w:color="#222222"/>
              <w:end w:sz="16.0" w:val="single" w:color="#222222"/>
              <w:bottom w:sz="16.0" w:val="single" w:color="#222222"/>
            </w:tcBorders>
            <w:shd w:fill="ffffff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86" w:lineRule="auto" w:before="0" w:after="34"/>
              <w:ind w:left="50" w:right="50" w:firstLine="0"/>
              <w:jc w:val="both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"Direct effects of hunting on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one species will likely have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indirect effects on other species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within that ecosystem and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3.9999999999997726" w:type="dxa"/>
            </w:tblPr>
            <w:tblGrid>
              <w:gridCol w:w="1072"/>
              <w:gridCol w:w="1072"/>
              <w:gridCol w:w="1072"/>
            </w:tblGrid>
            <w:tr>
              <w:trPr>
                <w:trHeight w:hRule="exact" w:val="320"/>
              </w:trPr>
              <w:tc>
                <w:tcPr>
                  <w:tcW w:type="dxa" w:w="13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32" w:after="0"/>
                    <w:ind w:left="46" w:right="0" w:firstLine="0"/>
                    <w:jc w:val="left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ultimately </w:t>
                  </w:r>
                </w:p>
              </w:tc>
              <w:tc>
                <w:tcPr>
                  <w:tcW w:type="dxa" w:w="12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32" w:after="0"/>
                    <w:ind w:left="0" w:right="0" w:firstLine="0"/>
                    <w:jc w:val="center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change </w:t>
                  </w:r>
                </w:p>
              </w:tc>
              <w:tc>
                <w:tcPr>
                  <w:tcW w:type="dxa" w:w="58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32" w:after="0"/>
                    <w:ind w:left="0" w:right="18" w:firstLine="0"/>
                    <w:jc w:val="right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>the</w:t>
                  </w:r>
                </w:p>
              </w:tc>
            </w:tr>
          </w:tbl>
          <w:p>
            <w:pPr>
              <w:autoSpaceDN w:val="0"/>
              <w:autoSpaceDE w:val="0"/>
              <w:widowControl/>
              <w:spacing w:line="269" w:lineRule="auto" w:before="32" w:after="0"/>
              <w:ind w:left="50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ecosystem itself." Brown </w:t>
            </w:r>
            <w:r>
              <w:rPr>
                <w:rFonts w:ascii="GillSansMT" w:hAnsi="GillSansMT" w:eastAsia="GillSansMT"/>
                <w:b/>
                <w:i w:val="0"/>
                <w:color w:val="222222"/>
                <w:sz w:val="22"/>
              </w:rPr>
              <w:t xml:space="preserve">et al.,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2006.</w:t>
            </w:r>
          </w:p>
        </w:tc>
      </w:tr>
    </w:tbl>
    <w:p>
      <w:pPr>
        <w:autoSpaceDN w:val="0"/>
        <w:autoSpaceDE w:val="0"/>
        <w:widowControl/>
        <w:spacing w:line="14" w:lineRule="exact" w:before="0" w:after="1346"/>
        <w:ind w:left="0" w:right="0"/>
      </w:pPr>
    </w:p>
    <w:p>
      <w:pPr>
        <w:sectPr>
          <w:type w:val="nextColumn"/>
          <w:pgSz w:w="11713" w:h="16791"/>
          <w:pgMar w:top="678" w:right="1240" w:bottom="290" w:left="1416" w:header="720" w:footer="720" w:gutter="0"/>
          <w:cols w:space="720" w:num="2" w:equalWidth="0"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4090" w:val="left"/>
        </w:tabs>
        <w:autoSpaceDE w:val="0"/>
        <w:widowControl/>
        <w:spacing w:line="242" w:lineRule="auto" w:before="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24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type w:val="continuous"/>
          <w:pgSz w:w="11713" w:h="16791"/>
          <w:pgMar w:top="678" w:right="1240" w:bottom="290" w:left="1416" w:header="720" w:footer="720" w:gutter="0"/>
          <w:cols w:space="720" w:num="1" w:equalWidth="0"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4572000</wp:posOffset>
            </wp:positionH>
            <wp:positionV relativeFrom="page">
              <wp:posOffset>4114800</wp:posOffset>
            </wp:positionV>
            <wp:extent cx="2070100" cy="1701800"/>
            <wp:wrapNone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7018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4" w:lineRule="exact" w:before="0" w:after="0"/>
        <w:ind w:left="4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well managed.  Unsustainable wildlife trade threatens to undermine the achievement of Goal 7,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and, hence, hinder progress towards other goals, as well as undermining the whole system by which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developing countries attempt to find the delicate balance between meeting both conservation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development goals.</w:t>
      </w:r>
    </w:p>
    <w:p>
      <w:pPr>
        <w:autoSpaceDN w:val="0"/>
        <w:autoSpaceDE w:val="0"/>
        <w:widowControl/>
        <w:spacing w:line="240" w:lineRule="auto" w:before="378" w:after="0"/>
        <w:ind w:left="0" w:right="0" w:firstLine="0"/>
        <w:jc w:val="center"/>
      </w:pPr>
      <w:r>
        <w:rPr>
          <w:rFonts w:ascii="GillSansMT" w:hAnsi="GillSansMT" w:eastAsia="GillSansMT"/>
          <w:b/>
          <w:i w:val="0"/>
          <w:color w:val="000000"/>
          <w:sz w:val="28"/>
        </w:rPr>
        <w:t>Wildlife trade and global partnerships for development (MDG 8)</w:t>
      </w:r>
    </w:p>
    <w:p>
      <w:pPr>
        <w:autoSpaceDN w:val="0"/>
        <w:autoSpaceDE w:val="0"/>
        <w:widowControl/>
        <w:spacing w:line="320" w:lineRule="exact" w:before="316" w:after="4"/>
        <w:ind w:left="4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they relate to a global industry, management systems for wildlife trade are well placed to contribute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the development of “an open, rule-based, predictable, non-discriminatory trading and financial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system” (Target 12).  In fact some would argue that CITES is already playing this role.  Certainly with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its increasing focus on livelihoods as well as conservation concerns, CITES is moving in the direction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addressing development as well as conservation concerns.  The commitment to good governance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that is central to Goal 8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indeed critical to achieving all the MDGs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also central to sustainable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 of wildlife trade.  The problems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opportunities foregone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that are associated with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poor governance are well recognized in the most valuable segments of wildlife trade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marine fisheries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timber.  Illegal logging, for example, and the related trade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-11.999999999999886" w:type="dxa"/>
      </w:tblPr>
      <w:tblGrid>
        <w:gridCol w:w="1811"/>
        <w:gridCol w:w="1811"/>
        <w:gridCol w:w="1811"/>
        <w:gridCol w:w="1811"/>
        <w:gridCol w:w="1811"/>
      </w:tblGrid>
      <w:tr>
        <w:trPr>
          <w:trHeight w:hRule="exact" w:val="308"/>
        </w:trPr>
        <w:tc>
          <w:tcPr>
            <w:tcW w:type="dxa" w:w="57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 illegally harvested timber, is estimated to cost developing</w:t>
            </w:r>
          </w:p>
        </w:tc>
        <w:tc>
          <w:tcPr>
            <w:tcW w:type="dxa" w:w="5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In 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economic </w:t>
            </w:r>
          </w:p>
        </w:tc>
        <w:tc>
          <w:tcPr>
            <w:tcW w:type="dxa" w:w="9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terms,</w:t>
            </w:r>
          </w:p>
        </w:tc>
        <w:tc>
          <w:tcPr>
            <w:tcW w:type="dxa" w:w="6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rural</w:t>
            </w:r>
          </w:p>
        </w:tc>
      </w:tr>
      <w:tr>
        <w:trPr>
          <w:trHeight w:hRule="exact" w:val="308"/>
        </w:trPr>
        <w:tc>
          <w:tcPr>
            <w:tcW w:type="dxa" w:w="57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34" w:after="0"/>
              <w:ind w:left="1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countries USD12.3–18.4 billion annually (ICTSD, 2004) while</w:t>
            </w:r>
          </w:p>
        </w:tc>
        <w:tc>
          <w:tcPr>
            <w:tcW w:type="dxa" w:w="174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16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communities,</w:t>
            </w:r>
          </w:p>
        </w:tc>
        <w:tc>
          <w:tcPr>
            <w:tcW w:type="dxa" w:w="9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16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traders </w:t>
            </w:r>
          </w:p>
        </w:tc>
        <w:tc>
          <w:tcPr>
            <w:tcW w:type="dxa" w:w="6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16" w:after="0"/>
              <w:ind w:left="0" w:right="38" w:firstLine="0"/>
              <w:jc w:val="righ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and</w:t>
            </w:r>
          </w:p>
        </w:tc>
      </w:tr>
    </w:tbl>
    <w:p>
      <w:pPr>
        <w:autoSpaceDN w:val="0"/>
        <w:autoSpaceDE w:val="0"/>
        <w:widowControl/>
        <w:spacing w:line="14" w:lineRule="exact" w:before="0" w:after="26"/>
        <w:ind w:left="0" w:right="0"/>
      </w:pPr>
    </w:p>
    <w:p>
      <w:pPr>
        <w:sectPr>
          <w:pgSz w:w="11713" w:h="16791"/>
          <w:pgMar w:top="678" w:right="1246" w:bottom="290" w:left="1412" w:header="720" w:footer="720" w:gutter="0"/>
          <w:cols w:space="720" w:num="1" w:equalWidth="0"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6" w:lineRule="exact" w:before="0" w:after="0"/>
        <w:ind w:left="4" w:right="15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average annual value of “illegal, unreported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unregulated” (IUU) fishing could be nearly USD1 billion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sub-Saharan Africa alone (MRAG, 2005).  Of particular signif-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icance to Goal 8 is the potential significance of wildlife trade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Least Developed Countries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Table 6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 Although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absolute values are not that great, they can represent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significant share of overall exports.</w:t>
      </w:r>
    </w:p>
    <w:p>
      <w:pPr>
        <w:autoSpaceDN w:val="0"/>
        <w:autoSpaceDE w:val="0"/>
        <w:widowControl/>
        <w:spacing w:line="240" w:lineRule="auto" w:before="492" w:after="0"/>
        <w:ind w:left="64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Table 6</w:t>
      </w:r>
    </w:p>
    <w:p>
      <w:pPr>
        <w:sectPr>
          <w:type w:val="continuous"/>
          <w:pgSz w:w="11713" w:h="16791"/>
          <w:pgMar w:top="678" w:right="1246" w:bottom="290" w:left="1412" w:header="720" w:footer="720" w:gutter="0"/>
          <w:cols w:space="720" w:num="2" w:equalWidth="0"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86" w:lineRule="auto" w:before="0" w:after="32"/>
        <w:ind w:left="148" w:right="104" w:firstLine="0"/>
        <w:jc w:val="both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government have lost massive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potential revenues to wasteful </w:t>
      </w:r>
      <w:r>
        <w:rPr>
          <w:rFonts w:ascii="GillSansMT" w:hAnsi="GillSansMT" w:eastAsia="GillSansMT"/>
          <w:b/>
          <w:i/>
          <w:color w:val="222222"/>
          <w:sz w:val="22"/>
        </w:rPr>
        <w:t>harvesting and processing, non-</w:t>
      </w:r>
      <w:r>
        <w:rPr>
          <w:rFonts w:ascii="GillSansMT" w:hAnsi="GillSansMT" w:eastAsia="GillSansMT"/>
          <w:b/>
          <w:i/>
          <w:color w:val="222222"/>
          <w:sz w:val="22"/>
        </w:rPr>
        <w:t>collection of royalties and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62.000000000000455" w:type="dxa"/>
      </w:tblPr>
      <w:tblGrid>
        <w:gridCol w:w="3018"/>
        <w:gridCol w:w="3018"/>
        <w:gridCol w:w="3018"/>
      </w:tblGrid>
      <w:tr>
        <w:trPr>
          <w:trHeight w:hRule="exact" w:val="320"/>
        </w:trPr>
        <w:tc>
          <w:tcPr>
            <w:tcW w:type="dxa" w:w="1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under-valuation </w:t>
            </w:r>
          </w:p>
        </w:tc>
        <w:tc>
          <w:tcPr>
            <w:tcW w:type="dxa" w:w="5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of </w:t>
            </w:r>
          </w:p>
        </w:tc>
        <w:tc>
          <w:tcPr>
            <w:tcW w:type="dxa" w:w="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2" w:after="0"/>
              <w:ind w:left="148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forest</w:t>
            </w:r>
          </w:p>
        </w:tc>
      </w:tr>
    </w:tbl>
    <w:p>
      <w:pPr>
        <w:autoSpaceDN w:val="0"/>
        <w:autoSpaceDE w:val="0"/>
        <w:widowControl/>
        <w:spacing w:line="240" w:lineRule="auto" w:before="32" w:after="1508"/>
        <w:ind w:left="0" w:right="0" w:firstLine="0"/>
        <w:jc w:val="center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products. Milledge </w:t>
      </w:r>
      <w:r>
        <w:rPr>
          <w:rFonts w:ascii="GillSansMT" w:hAnsi="GillSansMT" w:eastAsia="GillSansMT"/>
          <w:b/>
          <w:i w:val="0"/>
          <w:color w:val="222222"/>
          <w:sz w:val="22"/>
        </w:rPr>
        <w:t>et al.</w:t>
      </w:r>
      <w:r>
        <w:rPr>
          <w:rFonts w:ascii="GillSansMT" w:hAnsi="GillSansMT" w:eastAsia="GillSansMT"/>
          <w:b/>
          <w:i/>
          <w:color w:val="222222"/>
          <w:sz w:val="22"/>
        </w:rPr>
        <w:t>, 2007.</w:t>
      </w:r>
    </w:p>
    <w:p>
      <w:pPr>
        <w:sectPr>
          <w:type w:val="nextColumn"/>
          <w:pgSz w:w="11713" w:h="16791"/>
          <w:pgMar w:top="678" w:right="1246" w:bottom="290" w:left="1412" w:header="720" w:footer="720" w:gutter="0"/>
          <w:cols w:space="720" w:num="2" w:equalWidth="0"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40" w:lineRule="auto" w:before="0" w:after="232"/>
        <w:ind w:left="64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The significance of wildlife trade to the Least Developed Countries (LDCs)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10.0" w:type="dxa"/>
      </w:tblPr>
      <w:tblGrid>
        <w:gridCol w:w="9055"/>
      </w:tblGrid>
      <w:tr>
        <w:trPr>
          <w:trHeight w:hRule="exact" w:val="402"/>
        </w:trPr>
        <w:tc>
          <w:tcPr>
            <w:tcW w:type="dxa" w:w="9014"/>
            <w:tcBorders>
              <w:start w:sz="8.0" w:val="single" w:color="#000000"/>
              <w:top w:sz="8.0" w:val="single" w:color="#000000"/>
              <w:end w:sz="8.0" w:val="single" w:color="#000000"/>
              <w:bottom w:sz="1.0" w:val="single" w:color="#000000"/>
            </w:tcBorders>
            <w:shd w:fill="ffffff"/>
            <w:tcMar>
              <w:start w:w="0" w:type="dxa"/>
              <w:end w:w="0" w:type="dxa"/>
            </w:tcMar>
          </w:tcPr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.000000000000114" w:type="dxa"/>
            </w:tblPr>
            <w:tblGrid>
              <w:gridCol w:w="2253"/>
              <w:gridCol w:w="2253"/>
              <w:gridCol w:w="2253"/>
              <w:gridCol w:w="2253"/>
            </w:tblGrid>
            <w:tr>
              <w:trPr>
                <w:trHeight w:hRule="exact" w:val="332"/>
              </w:trPr>
              <w:tc>
                <w:tcPr>
                  <w:tcW w:type="dxa" w:w="108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304" w:lineRule="exact" w:before="0" w:after="0"/>
                    <w:ind w:left="46" w:right="0" w:firstLine="0"/>
                    <w:jc w:val="left"/>
                  </w:pPr>
                  <w:r>
                    <w:rPr>
                      <w:rFonts w:ascii="TimesNewRomanPS" w:hAnsi="TimesNewRomanPS" w:eastAsia="TimesNewRomanPS"/>
                      <w:b/>
                      <w:i w:val="0"/>
                      <w:color w:val="000000"/>
                      <w:sz w:val="22"/>
                    </w:rPr>
                    <w:t>LDC</w:t>
                  </w:r>
                </w:p>
              </w:tc>
              <w:tc>
                <w:tcPr>
                  <w:tcW w:type="dxa" w:w="27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304" w:lineRule="exact" w:before="0" w:after="0"/>
                    <w:ind w:left="0" w:right="0" w:firstLine="0"/>
                    <w:jc w:val="center"/>
                  </w:pPr>
                  <w:r>
                    <w:rPr>
                      <w:rFonts w:ascii="TimesNewRomanPS" w:hAnsi="TimesNewRomanPS" w:eastAsia="TimesNewRomanPS"/>
                      <w:b/>
                      <w:i w:val="0"/>
                      <w:color w:val="000000"/>
                      <w:sz w:val="22"/>
                    </w:rPr>
                    <w:t>Wildlife product</w:t>
                  </w:r>
                </w:p>
              </w:tc>
              <w:tc>
                <w:tcPr>
                  <w:tcW w:type="dxa" w:w="296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304" w:lineRule="exact" w:before="0" w:after="0"/>
                    <w:ind w:left="566" w:right="0" w:firstLine="0"/>
                    <w:jc w:val="left"/>
                  </w:pPr>
                  <w:r>
                    <w:rPr>
                      <w:rFonts w:ascii="TimesNewRomanPS" w:hAnsi="TimesNewRomanPS" w:eastAsia="TimesNewRomanPS"/>
                      <w:b/>
                      <w:i w:val="0"/>
                      <w:color w:val="000000"/>
                      <w:sz w:val="22"/>
                    </w:rPr>
                    <w:t>Value (USD millions)</w:t>
                  </w:r>
                </w:p>
              </w:tc>
              <w:tc>
                <w:tcPr>
                  <w:tcW w:type="dxa" w:w="196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304" w:lineRule="exact" w:before="0" w:after="0"/>
                    <w:ind w:left="412" w:right="0" w:firstLine="0"/>
                    <w:jc w:val="left"/>
                  </w:pPr>
                  <w:r>
                    <w:rPr>
                      <w:rFonts w:ascii="TimesNewRomanPS" w:hAnsi="TimesNewRomanPS" w:eastAsia="TimesNewRomanPS"/>
                      <w:b/>
                      <w:i w:val="0"/>
                      <w:color w:val="000000"/>
                      <w:sz w:val="22"/>
                    </w:rPr>
                    <w:t>Year reported</w:t>
                  </w:r>
                </w:p>
              </w:tc>
            </w:tr>
          </w:tbl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414"/>
        </w:trPr>
        <w:tc>
          <w:tcPr>
            <w:tcW w:type="dxa" w:w="9014"/>
            <w:tcBorders>
              <w:start w:sz="8.0" w:val="single" w:color="#000000"/>
              <w:top w:sz="1.0" w:val="single" w:color="#000000"/>
              <w:end w:sz="8.0" w:val="single" w:color="#000000"/>
              <w:bottom w:sz="8.0" w:val="single" w:color="#000000"/>
            </w:tcBorders>
            <w:shd w:fill="ffffff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4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.000000000000114" w:type="dxa"/>
            </w:tblPr>
            <w:tblGrid>
              <w:gridCol w:w="2253"/>
              <w:gridCol w:w="2253"/>
              <w:gridCol w:w="2253"/>
              <w:gridCol w:w="2253"/>
            </w:tblGrid>
            <w:tr>
              <w:trPr>
                <w:trHeight w:hRule="exact" w:val="298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58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Afghanistan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58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Hides, skins and fur skins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58" w:after="0"/>
                    <w:ind w:left="0" w:right="123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21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58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1977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Eritrea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Coral, seashell etc.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0.7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2003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Ethiopia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Hides and skins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0.1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2003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Haiti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Essential oils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3.2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1995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Maldives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Live fish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1.3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2005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Mali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Live reptiles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0.3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2004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Niger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Live mammals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0.7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2005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Somalia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Live animals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23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5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1982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Sudan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Gum arabic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23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102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2005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Tanzania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Ornamental fish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0.2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2005</w:t>
                  </w:r>
                </w:p>
              </w:tc>
            </w:tr>
            <w:tr>
              <w:trPr>
                <w:trHeight w:hRule="exact" w:val="260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Vanuatu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Live animals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0.1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0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2000</w:t>
                  </w:r>
                </w:p>
              </w:tc>
            </w:tr>
            <w:tr>
              <w:trPr>
                <w:trHeight w:hRule="exact" w:val="298"/>
              </w:trPr>
              <w:tc>
                <w:tcPr>
                  <w:tcW w:type="dxa" w:w="1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2" w:after="0"/>
                    <w:ind w:left="46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Yemen</w:t>
                  </w:r>
                </w:p>
              </w:tc>
              <w:tc>
                <w:tcPr>
                  <w:tcW w:type="dxa" w:w="30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2" w:after="0"/>
                    <w:ind w:left="382" w:right="0" w:firstLine="0"/>
                    <w:jc w:val="lef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Live fish</w:t>
                  </w:r>
                </w:p>
              </w:tc>
              <w:tc>
                <w:tcPr>
                  <w:tcW w:type="dxa" w:w="23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2" w:after="0"/>
                    <w:ind w:left="0" w:right="1098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0.1</w:t>
                  </w:r>
                </w:p>
              </w:tc>
              <w:tc>
                <w:tcPr>
                  <w:tcW w:type="dxa" w:w="192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2" w:after="0"/>
                    <w:ind w:left="0" w:right="424" w:firstLine="0"/>
                    <w:jc w:val="right"/>
                  </w:pPr>
                  <w:r>
                    <w:rPr>
                      <w:rFonts w:ascii="TimesNewRomanPSMT" w:hAnsi="TimesNewRomanPSMT" w:eastAsia="TimesNewRomanPSMT"/>
                      <w:b w:val="0"/>
                      <w:i w:val="0"/>
                      <w:color w:val="000000"/>
                      <w:sz w:val="18"/>
                    </w:rPr>
                    <w:t>2004</w:t>
                  </w:r>
                </w:p>
              </w:tc>
            </w:tr>
          </w:tbl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66" w:lineRule="exact" w:before="102" w:after="0"/>
        <w:ind w:left="64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>Source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: Analysis by TRAFFIC based on UN Statistics Division COMTRADE database</w:t>
      </w:r>
    </w:p>
    <w:p>
      <w:pPr>
        <w:autoSpaceDN w:val="0"/>
        <w:tabs>
          <w:tab w:pos="8748" w:val="left"/>
        </w:tabs>
        <w:autoSpaceDE w:val="0"/>
        <w:widowControl/>
        <w:spacing w:line="242" w:lineRule="auto" w:before="818" w:after="0"/>
        <w:ind w:left="24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25</w:t>
      </w:r>
    </w:p>
    <w:p>
      <w:pPr>
        <w:sectPr>
          <w:type w:val="continuous"/>
          <w:pgSz w:w="11713" w:h="16791"/>
          <w:pgMar w:top="678" w:right="1246" w:bottom="290" w:left="1412" w:header="720" w:footer="720" w:gutter="0"/>
          <w:cols w:space="720" w:num="1" w:equalWidth="0"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4356100</wp:posOffset>
            </wp:positionV>
            <wp:extent cx="5753100" cy="5054600"/>
            <wp:wrapNone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0546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Losses are not just felt at the national level, however, but also at the village, household and individual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level.  A recent study of the timber trade in Tanzania, for example, noted that contemporary timber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dynamics were: 1) undermining the National Strategy for Growth and Reduction of Poverty; 2)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represented an opportunity cost of up to a four-fold budget increase at District Council level; and 3)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meant that local harvesters were receiving barely one per cent of the export price (Milledge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2007).  National governments and international development assistance agencies have developed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number of programmes to address these issues, but to date these initiatives have not been extended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trade in other resources. 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center"/>
      </w:pPr>
      <w:r>
        <w:rPr>
          <w:rFonts w:ascii="GillSansMT" w:hAnsi="GillSansMT" w:eastAsia="GillSansMT"/>
          <w:b/>
          <w:i w:val="0"/>
          <w:color w:val="000000"/>
          <w:sz w:val="28"/>
        </w:rPr>
        <w:t>Summary of the key contributions of wildlife trade to the MDGs</w:t>
      </w:r>
    </w:p>
    <w:p>
      <w:pPr>
        <w:autoSpaceDN w:val="0"/>
        <w:autoSpaceDE w:val="0"/>
        <w:widowControl/>
        <w:spacing w:line="306" w:lineRule="exact" w:before="344" w:after="0"/>
        <w:ind w:left="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Table 7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summarizes the key contributions of wildlife trade to each of the MDGs.</w:t>
      </w:r>
    </w:p>
    <w:p>
      <w:pPr>
        <w:autoSpaceDN w:val="0"/>
        <w:autoSpaceDE w:val="0"/>
        <w:widowControl/>
        <w:spacing w:line="240" w:lineRule="auto" w:before="37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Table 7</w:t>
      </w:r>
    </w:p>
    <w:p>
      <w:pPr>
        <w:autoSpaceDN w:val="0"/>
        <w:autoSpaceDE w:val="0"/>
        <w:widowControl/>
        <w:spacing w:line="240" w:lineRule="auto" w:before="386" w:after="442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Contributions of wildlife trade to the MDGs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06" w:lineRule="exact" w:before="0" w:after="0"/>
        <w:ind w:left="9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Millennium Development Goals</w:t>
      </w:r>
    </w:p>
    <w:p>
      <w:pPr>
        <w:autoSpaceDN w:val="0"/>
        <w:autoSpaceDE w:val="0"/>
        <w:widowControl/>
        <w:spacing w:line="222" w:lineRule="exact" w:before="396" w:after="0"/>
        <w:ind w:left="9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Goal 1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: Eradicate extreme poverty and hunger</w:t>
      </w:r>
    </w:p>
    <w:p>
      <w:pPr>
        <w:autoSpaceDN w:val="0"/>
        <w:autoSpaceDE w:val="0"/>
        <w:widowControl/>
        <w:spacing w:line="222" w:lineRule="exact" w:before="1778" w:after="0"/>
        <w:ind w:left="9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Goal 2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: Achieve universal primary education</w:t>
      </w:r>
    </w:p>
    <w:p>
      <w:pPr>
        <w:autoSpaceDN w:val="0"/>
        <w:autoSpaceDE w:val="0"/>
        <w:widowControl/>
        <w:spacing w:line="222" w:lineRule="exact" w:before="418" w:after="0"/>
        <w:ind w:left="9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Goal 3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: Promote gender equality and empower women</w:t>
      </w:r>
    </w:p>
    <w:p>
      <w:pPr>
        <w:autoSpaceDN w:val="0"/>
        <w:autoSpaceDE w:val="0"/>
        <w:widowControl/>
        <w:spacing w:line="320" w:lineRule="exact" w:before="440" w:after="0"/>
        <w:ind w:left="90" w:right="144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Goal 4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: Reduce child mortality </w:t>
      </w:r>
      <w:r>
        <w:br/>
      </w:r>
      <w:r>
        <w:rPr>
          <w:rFonts w:ascii="TimesNewRomanPS" w:hAnsi="TimesNewRomanPS" w:eastAsia="TimesNewRomanPS"/>
          <w:b/>
          <w:i w:val="0"/>
          <w:color w:val="000000"/>
          <w:sz w:val="16"/>
        </w:rPr>
        <w:t>Goal 5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: Improve maternal health </w:t>
      </w:r>
      <w:r>
        <w:br/>
      </w:r>
      <w:r>
        <w:rPr>
          <w:rFonts w:ascii="TimesNewRomanPS" w:hAnsi="TimesNewRomanPS" w:eastAsia="TimesNewRomanPS"/>
          <w:b/>
          <w:i w:val="0"/>
          <w:color w:val="000000"/>
          <w:sz w:val="16"/>
        </w:rPr>
        <w:t>Goal 6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: Combat HIV/AIDS, malaria and other diseases</w:t>
      </w:r>
    </w:p>
    <w:p>
      <w:pPr>
        <w:autoSpaceDN w:val="0"/>
        <w:autoSpaceDE w:val="0"/>
        <w:widowControl/>
        <w:spacing w:line="222" w:lineRule="exact" w:before="378" w:after="0"/>
        <w:ind w:left="9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Goal 7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: Ensure environmental sustainability </w:t>
      </w:r>
    </w:p>
    <w:p>
      <w:pPr>
        <w:autoSpaceDN w:val="0"/>
        <w:autoSpaceDE w:val="0"/>
        <w:widowControl/>
        <w:spacing w:line="222" w:lineRule="exact" w:before="898" w:after="0"/>
        <w:ind w:left="9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6"/>
        </w:rPr>
        <w:t>Goal 8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: Develop a global partnership for development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2" w:equalWidth="0"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06" w:lineRule="exact" w:before="0" w:after="0"/>
        <w:ind w:left="164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Contributions from wildlife trade</w:t>
      </w:r>
    </w:p>
    <w:p>
      <w:pPr>
        <w:autoSpaceDN w:val="0"/>
        <w:autoSpaceDE w:val="0"/>
        <w:widowControl/>
        <w:spacing w:line="240" w:lineRule="exact" w:before="386" w:after="0"/>
        <w:ind w:left="214" w:right="17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Income from wildlife trade can be significant for some.  For others, even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though the actual amounts may be small it may represent the only source of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cash.  Income can be earned directly</w:t>
      </w:r>
      <w:r>
        <w:rPr>
          <w:rFonts w:ascii="GillSansMT" w:hAnsi="GillSansMT" w:eastAsia="GillSansMT"/>
          <w:b w:val="0"/>
          <w:i w:val="0"/>
          <w:color w:val="000000"/>
          <w:sz w:val="16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as harvesters or traders</w:t>
      </w:r>
      <w:r>
        <w:rPr>
          <w:rFonts w:ascii="GillSansMT" w:hAnsi="GillSansMT" w:eastAsia="GillSansMT"/>
          <w:b w:val="0"/>
          <w:i w:val="0"/>
          <w:color w:val="000000"/>
          <w:sz w:val="16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or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indirectly through employment throughout the trade chain.  Sustainable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wildlife trade can also contribute to food security</w:t>
      </w:r>
      <w:r>
        <w:rPr>
          <w:rFonts w:ascii="GillSansMT" w:hAnsi="GillSansMT" w:eastAsia="GillSansMT"/>
          <w:b w:val="0"/>
          <w:i w:val="0"/>
          <w:color w:val="000000"/>
          <w:sz w:val="16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either directly by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providing access to wild food products or indirectly by increasing the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amount of income available to spend on food.</w:t>
      </w:r>
    </w:p>
    <w:p>
      <w:pPr>
        <w:autoSpaceDN w:val="0"/>
        <w:autoSpaceDE w:val="0"/>
        <w:widowControl/>
        <w:spacing w:line="240" w:lineRule="exact" w:before="300" w:after="0"/>
        <w:ind w:left="214" w:right="144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Indirect contribution, but income from wildlife trade can help contribute to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school fees.</w:t>
      </w:r>
    </w:p>
    <w:p>
      <w:pPr>
        <w:autoSpaceDN w:val="0"/>
        <w:autoSpaceDE w:val="0"/>
        <w:widowControl/>
        <w:spacing w:line="240" w:lineRule="exact" w:before="180" w:after="0"/>
        <w:ind w:left="214" w:right="144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Some components of the wildlife trade, e.g. NTFP collection, have a partic-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ularly high level of involvement from women.</w:t>
      </w:r>
    </w:p>
    <w:p>
      <w:pPr>
        <w:autoSpaceDN w:val="0"/>
        <w:autoSpaceDE w:val="0"/>
        <w:widowControl/>
        <w:spacing w:line="240" w:lineRule="exact" w:before="240" w:after="0"/>
        <w:ind w:left="214" w:right="17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Sustainable wildlife trade can contribute to health improvements through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improved nutrition, improved access to traditional medicines, supplying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raw materials for manufacture of pharmaceutical products, as a source of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fuelwood for heat and cooking, and increased incomes for healthcare.</w:t>
      </w:r>
    </w:p>
    <w:p>
      <w:pPr>
        <w:autoSpaceDN w:val="0"/>
        <w:autoSpaceDE w:val="0"/>
        <w:widowControl/>
        <w:spacing w:line="240" w:lineRule="exact" w:before="280" w:after="0"/>
        <w:ind w:left="214" w:right="17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Well-managed wildlife trade can enhance the sustainability of the natural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resource base, both the species in trade and their surrounding ecosystems—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but much wildlife trade is currently unsustainable and undermines the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natural resource base on which many poor people’s livelihoods depends.</w:t>
      </w:r>
    </w:p>
    <w:p>
      <w:pPr>
        <w:autoSpaceDN w:val="0"/>
        <w:autoSpaceDE w:val="0"/>
        <w:widowControl/>
        <w:spacing w:line="240" w:lineRule="exact" w:before="200" w:after="1488"/>
        <w:ind w:left="214" w:right="17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Wildlife trade can encourage partnerships between trading nations, such as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through CITES, and between responsible businesses and local communities.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However, poor governance regimes are limiting the potential of the trade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and greater assistance is required from the international community in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addressing this.</w:t>
      </w:r>
    </w:p>
    <w:p>
      <w:pPr>
        <w:sectPr>
          <w:type w:val="nextColumn"/>
          <w:pgSz w:w="11713" w:h="16791"/>
          <w:pgMar w:top="678" w:right="1248" w:bottom="290" w:left="1416" w:header="720" w:footer="720" w:gutter="0"/>
          <w:cols w:space="720" w:num="2" w:equalWidth="0"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4090" w:val="left"/>
        </w:tabs>
        <w:autoSpaceDE w:val="0"/>
        <w:widowControl/>
        <w:spacing w:line="242" w:lineRule="auto" w:before="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26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3276600</wp:posOffset>
            </wp:positionV>
            <wp:extent cx="5753100" cy="2400300"/>
            <wp:wrapNone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4003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52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DISCUSSION: CHALLENGES TO WILDLIFE TRADE AS A </w:t>
      </w:r>
      <w:r>
        <w:rPr>
          <w:rFonts w:ascii="GillSansMT" w:hAnsi="GillSansMT" w:eastAsia="GillSansMT"/>
          <w:b/>
          <w:i w:val="0"/>
          <w:color w:val="000000"/>
          <w:sz w:val="28"/>
        </w:rPr>
        <w:t xml:space="preserve">DEVELOPMENT TOOL </w:t>
      </w:r>
    </w:p>
    <w:p>
      <w:pPr>
        <w:autoSpaceDN w:val="0"/>
        <w:autoSpaceDE w:val="0"/>
        <w:widowControl/>
        <w:spacing w:line="320" w:lineRule="exact" w:before="31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preceding analysis highlights the role that sustainable wildlife trade can play in supporting local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people’s livelihoods and contributing to the achievement of many of the MDGs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Figure 2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Nevertheless, unsustainable resource harvest and trade is undermining the environmental sustainability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that is called for in MDG 7 and that underpins the delivery of the other MDGs. </w:t>
      </w:r>
    </w:p>
    <w:p>
      <w:pPr>
        <w:autoSpaceDN w:val="0"/>
        <w:autoSpaceDE w:val="0"/>
        <w:widowControl/>
        <w:spacing w:line="240" w:lineRule="auto" w:before="378" w:after="0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Figure 2</w:t>
      </w:r>
    </w:p>
    <w:p>
      <w:pPr>
        <w:autoSpaceDN w:val="0"/>
        <w:autoSpaceDE w:val="0"/>
        <w:widowControl/>
        <w:spacing w:line="240" w:lineRule="auto" w:before="384" w:after="0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Wild resources contributing to sustainable livelihood outcomes</w:t>
      </w:r>
    </w:p>
    <w:p>
      <w:pPr>
        <w:autoSpaceDN w:val="0"/>
        <w:autoSpaceDE w:val="0"/>
        <w:widowControl/>
        <w:spacing w:line="276" w:lineRule="exact" w:before="248" w:after="164"/>
        <w:ind w:left="7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0"/>
        </w:rPr>
        <w:t>Livelihood outcomes</w:t>
      </w:r>
      <w:r>
        <w:rPr>
          <w:rFonts w:ascii="TimesNewRomanPS" w:hAnsi="TimesNewRomanPS" w:eastAsia="TimesNewRomanPS"/>
          <w:b/>
          <w:i w:val="0"/>
          <w:color w:val="000000"/>
          <w:sz w:val="10"/>
        </w:rPr>
        <w:t>*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3016"/>
        <w:gridCol w:w="3016"/>
        <w:gridCol w:w="3016"/>
      </w:tblGrid>
      <w:tr>
        <w:trPr>
          <w:trHeight w:hRule="exact" w:val="268"/>
        </w:trPr>
        <w:tc>
          <w:tcPr>
            <w:tcW w:type="dxa" w:w="1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0" w:lineRule="exact" w:before="48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6"/>
              </w:rPr>
              <w:t>More income</w:t>
            </w:r>
          </w:p>
        </w:tc>
        <w:tc>
          <w:tcPr>
            <w:tcW w:type="dxa" w:w="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8" w:lineRule="exact" w:before="60" w:after="0"/>
              <w:ind w:left="0" w:right="0" w:firstLine="0"/>
              <w:jc w:val="center"/>
            </w:pPr>
            <w:r>
              <w:rPr>
                <w:rFonts w:ascii="Symbol" w:hAnsi="Symbol" w:eastAsia="Symbol"/>
                <w:b w:val="0"/>
                <w:i w:val="0"/>
                <w:color w:val="000000"/>
                <w:sz w:val="16"/>
              </w:rPr>
              <w:t>√</w:t>
            </w:r>
          </w:p>
        </w:tc>
        <w:tc>
          <w:tcPr>
            <w:tcW w:type="dxa" w:w="6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5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From sales of wildlife and wildlife products or employment in wildlife-based enterprise</w:t>
            </w:r>
          </w:p>
        </w:tc>
      </w:tr>
      <w:tr>
        <w:trPr>
          <w:trHeight w:hRule="exact" w:val="492"/>
        </w:trPr>
        <w:tc>
          <w:tcPr>
            <w:tcW w:type="dxa" w:w="1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0" w:lineRule="exact" w:before="254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6"/>
              </w:rPr>
              <w:t>Increased well-being</w:t>
            </w:r>
          </w:p>
        </w:tc>
        <w:tc>
          <w:tcPr>
            <w:tcW w:type="dxa" w:w="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8" w:lineRule="exact" w:before="256" w:after="0"/>
              <w:ind w:left="0" w:right="0" w:firstLine="0"/>
              <w:jc w:val="center"/>
            </w:pPr>
            <w:r>
              <w:rPr>
                <w:rFonts w:ascii="Symbol" w:hAnsi="Symbol" w:eastAsia="Symbol"/>
                <w:b w:val="0"/>
                <w:i w:val="0"/>
                <w:color w:val="000000"/>
                <w:sz w:val="16"/>
              </w:rPr>
              <w:t>√</w:t>
            </w:r>
          </w:p>
        </w:tc>
        <w:tc>
          <w:tcPr>
            <w:tcW w:type="dxa" w:w="6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252" w:after="0"/>
              <w:ind w:left="34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 xml:space="preserve">From health benefits of medicinal species and protein and other food supplies, as well as </w:t>
            </w:r>
          </w:p>
        </w:tc>
      </w:tr>
    </w:tbl>
    <w:p>
      <w:pPr>
        <w:autoSpaceDN w:val="0"/>
        <w:autoSpaceDE w:val="0"/>
        <w:widowControl/>
        <w:spacing w:line="214" w:lineRule="exact" w:before="20" w:after="186"/>
        <w:ind w:left="0" w:right="4020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spiritual and cultural well-being 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3016"/>
        <w:gridCol w:w="3016"/>
        <w:gridCol w:w="3016"/>
      </w:tblGrid>
      <w:tr>
        <w:trPr>
          <w:trHeight w:hRule="exact" w:val="268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0" w:lineRule="exact" w:before="48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6"/>
              </w:rPr>
              <w:t>Reduced vulnerability</w:t>
            </w:r>
          </w:p>
        </w:tc>
        <w:tc>
          <w:tcPr>
            <w:tcW w:type="dxa" w:w="6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8" w:lineRule="exact" w:before="60" w:after="0"/>
              <w:ind w:left="0" w:right="0" w:firstLine="0"/>
              <w:jc w:val="center"/>
            </w:pPr>
            <w:r>
              <w:rPr>
                <w:rFonts w:ascii="Symbol" w:hAnsi="Symbol" w:eastAsia="Symbol"/>
                <w:b w:val="0"/>
                <w:i w:val="0"/>
                <w:color w:val="000000"/>
                <w:sz w:val="16"/>
              </w:rPr>
              <w:t>√</w:t>
            </w:r>
          </w:p>
        </w:tc>
        <w:tc>
          <w:tcPr>
            <w:tcW w:type="dxa" w:w="6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54" w:after="0"/>
              <w:ind w:left="34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From diversification away from a purely agricultural economy</w:t>
            </w:r>
          </w:p>
        </w:tc>
      </w:tr>
      <w:tr>
        <w:trPr>
          <w:trHeight w:hRule="exact" w:val="492"/>
        </w:trPr>
        <w:tc>
          <w:tcPr>
            <w:tcW w:type="dxa" w:w="1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0" w:lineRule="exact" w:before="254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6"/>
              </w:rPr>
              <w:t>Improved food security</w:t>
            </w:r>
          </w:p>
        </w:tc>
        <w:tc>
          <w:tcPr>
            <w:tcW w:type="dxa" w:w="6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8" w:lineRule="exact" w:before="256" w:after="0"/>
              <w:ind w:left="0" w:right="0" w:firstLine="0"/>
              <w:jc w:val="center"/>
            </w:pPr>
            <w:r>
              <w:rPr>
                <w:rFonts w:ascii="Symbol" w:hAnsi="Symbol" w:eastAsia="Symbol"/>
                <w:b w:val="0"/>
                <w:i w:val="0"/>
                <w:color w:val="000000"/>
                <w:sz w:val="16"/>
              </w:rPr>
              <w:t>√</w:t>
            </w:r>
          </w:p>
        </w:tc>
        <w:tc>
          <w:tcPr>
            <w:tcW w:type="dxa" w:w="6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252" w:after="0"/>
              <w:ind w:left="34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>From the relatively high levels of  accessibility of wild food resources and their independence</w:t>
            </w:r>
          </w:p>
        </w:tc>
      </w:tr>
    </w:tbl>
    <w:p>
      <w:pPr>
        <w:autoSpaceDN w:val="0"/>
        <w:autoSpaceDE w:val="0"/>
        <w:widowControl/>
        <w:spacing w:line="214" w:lineRule="exact" w:before="20" w:after="186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from agricultural outputs in terms of availability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3016"/>
        <w:gridCol w:w="3016"/>
        <w:gridCol w:w="3016"/>
      </w:tblGrid>
      <w:tr>
        <w:trPr>
          <w:trHeight w:hRule="exact" w:val="300"/>
        </w:trPr>
        <w:tc>
          <w:tcPr>
            <w:tcW w:type="dxa" w:w="18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0" w:lineRule="exact" w:before="62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6"/>
              </w:rPr>
              <w:t>More sustainable use</w:t>
            </w:r>
          </w:p>
        </w:tc>
        <w:tc>
          <w:tcPr>
            <w:tcW w:type="dxa" w:w="7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8" w:lineRule="exact" w:before="64" w:after="0"/>
              <w:ind w:left="0" w:right="0" w:firstLine="0"/>
              <w:jc w:val="center"/>
            </w:pPr>
            <w:r>
              <w:rPr>
                <w:rFonts w:ascii="Symbol" w:hAnsi="Symbol" w:eastAsia="Symbol"/>
                <w:b w:val="0"/>
                <w:i w:val="0"/>
                <w:color w:val="000000"/>
                <w:sz w:val="16"/>
              </w:rPr>
              <w:t>?</w:t>
            </w:r>
          </w:p>
        </w:tc>
        <w:tc>
          <w:tcPr>
            <w:tcW w:type="dxa" w:w="62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14" w:lineRule="exact" w:before="60" w:after="0"/>
              <w:ind w:left="34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6"/>
              </w:rPr>
              <w:t xml:space="preserve">The long-term sustainability of livelihoods is dependent on this outcome, which itself is </w:t>
            </w:r>
          </w:p>
        </w:tc>
      </w:tr>
    </w:tbl>
    <w:p>
      <w:pPr>
        <w:autoSpaceDN w:val="0"/>
        <w:autoSpaceDE w:val="0"/>
        <w:widowControl/>
        <w:spacing w:line="246" w:lineRule="exact" w:before="0" w:after="0"/>
        <w:ind w:left="292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 xml:space="preserve">dependent on the of the natural resource base effectiveness of land and wildlife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16"/>
        </w:rPr>
        <w:t>policies and practices.</w:t>
      </w:r>
    </w:p>
    <w:p>
      <w:pPr>
        <w:autoSpaceDN w:val="0"/>
        <w:autoSpaceDE w:val="0"/>
        <w:widowControl/>
        <w:spacing w:line="252" w:lineRule="exact" w:before="208" w:after="0"/>
        <w:ind w:left="6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18"/>
        </w:rPr>
        <w:t xml:space="preserve">Note: </w:t>
      </w:r>
      <w:r>
        <w:rPr>
          <w:rFonts w:ascii="TimesNewRomanPS" w:hAnsi="TimesNewRomanPS" w:eastAsia="TimesNewRomanPS"/>
          <w:b/>
          <w:i w:val="0"/>
          <w:color w:val="000000"/>
          <w:sz w:val="9"/>
        </w:rPr>
        <w:t xml:space="preserve">*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>From the DFID Sustainable Livelihoods Framework (DFID, 1999).</w:t>
      </w:r>
    </w:p>
    <w:p>
      <w:pPr>
        <w:autoSpaceDN w:val="0"/>
        <w:autoSpaceDE w:val="0"/>
        <w:widowControl/>
        <w:spacing w:line="320" w:lineRule="exact" w:before="504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points to the need for improved natural resource governance and, in particular, better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of wildlife trade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management alone is insufficient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enhance the contribution of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to the MDGs.  In the case of wild meat, for example, the trade is largely illegal, clandestine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hence unmanaged and yet continues to be an important source of income and a significant contributor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food security.  In other cases, the trade may be managed but the benefits may by-pass those who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most dependent on the traded resource.  When products become more valuable, for example, more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powerful individuals or groups (including wholesalers and urban traders) can move in and often bypass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local gatherers or usurp traditional rights of use and access (Arnold, 1995).  The MA notes,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example: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“The increase in international trade in biological products has improved the well-being for</w:t>
      </w:r>
    </w:p>
    <w:p>
      <w:pPr>
        <w:autoSpaceDN w:val="0"/>
        <w:autoSpaceDE w:val="0"/>
        <w:widowControl/>
        <w:spacing w:line="268" w:lineRule="exact" w:before="48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many social groups and individuals, especially in countries with well-developed markets and trade</w:t>
      </w:r>
    </w:p>
    <w:p>
      <w:pPr>
        <w:autoSpaceDN w:val="0"/>
        <w:autoSpaceDE w:val="0"/>
        <w:widowControl/>
        <w:spacing w:line="268" w:lineRule="exact" w:before="52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rules and among people in developing countries who have access to biological products.  However</w:t>
      </w:r>
    </w:p>
    <w:p>
      <w:pPr>
        <w:autoSpaceDN w:val="0"/>
        <w:autoSpaceDE w:val="0"/>
        <w:widowControl/>
        <w:spacing w:line="268" w:lineRule="exact" w:before="52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many groups have not benefited from trade.  Some people who live near and are dependent on</w:t>
      </w:r>
    </w:p>
    <w:p>
      <w:pPr>
        <w:autoSpaceDN w:val="0"/>
        <w:autoSpaceDE w:val="0"/>
        <w:widowControl/>
        <w:spacing w:line="268" w:lineRule="exact" w:before="52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biodiversity-rich areas have experienced a drop in their well being rather than an increase.  Examples</w:t>
      </w:r>
    </w:p>
    <w:p>
      <w:pPr>
        <w:autoSpaceDN w:val="0"/>
        <w:autoSpaceDE w:val="0"/>
        <w:widowControl/>
        <w:spacing w:line="268" w:lineRule="exact" w:before="52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include many indigenous groups and local communities who have relied on these products and the</w:t>
      </w:r>
    </w:p>
    <w:p>
      <w:pPr>
        <w:autoSpaceDN w:val="0"/>
        <w:autoSpaceDE w:val="0"/>
        <w:widowControl/>
        <w:spacing w:line="268" w:lineRule="exact" w:before="52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ecosystems services they support for many of the constituents of well being.  Weak and inefficient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502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27</w:t>
      </w:r>
    </w:p>
    <w:p>
      <w:pPr>
        <w:sectPr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8"/>
        <w:ind w:left="0" w:right="0"/>
      </w:pPr>
    </w:p>
    <w:p>
      <w:pPr>
        <w:autoSpaceDN w:val="0"/>
        <w:autoSpaceDE w:val="0"/>
        <w:widowControl/>
        <w:spacing w:line="268" w:lineRule="exact" w:before="0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institutional structures that oversee the equitable distribution of benefits are key reasons for the</w:t>
      </w:r>
    </w:p>
    <w:p>
      <w:pPr>
        <w:autoSpaceDN w:val="0"/>
        <w:autoSpaceDE w:val="0"/>
        <w:widowControl/>
        <w:spacing w:line="268" w:lineRule="exact" w:before="52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inequitable distribution of benefits at the national and local levels”.  Millennium Ecosystem</w:t>
      </w:r>
    </w:p>
    <w:p>
      <w:pPr>
        <w:autoSpaceDN w:val="0"/>
        <w:autoSpaceDE w:val="0"/>
        <w:widowControl/>
        <w:spacing w:line="268" w:lineRule="exact" w:before="52" w:after="0"/>
        <w:ind w:left="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Assessment (2005a:40)</w:t>
      </w:r>
    </w:p>
    <w:p>
      <w:pPr>
        <w:autoSpaceDN w:val="0"/>
        <w:autoSpaceDE w:val="0"/>
        <w:widowControl/>
        <w:spacing w:line="320" w:lineRule="exact" w:before="322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Even when well managed, wildlife trade does not ensure sustainable livelihoods and poverty reduction.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recent years, a considerable amount of research has documented the criteria affecting the success 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failure of NTFP commercialization (e.g. Vedeld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2004; Marshall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2006; Belcher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Schrekenberg, 2007) and many of the same problems may be true of other wild resources,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demonstrated by the case studies in this report.  These include the fact that: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only a relatively limited number of species or taxa have commercial value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particular some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rattan and bamboo species, resins, birds’ nests, various fruits and nuts and medicinal plants. More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valuable wildlife products, such as timber, are rarely available to local communities for income-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generation on any significant scale (Wollenberg and Belcher, 2001).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many species are widely but thinly distributed and may take considerable effort to harvest or collect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implying high costs and low returns.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many products require sophisticated processing or storage, which can make them economically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unviable.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is insecure tenure over collection areas, which leads to risk of over-exploitation as a result of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inability to manage the resource (to improve quality and/or quantity).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products are very diverse, can go in and out of fashion, are frequently “luxury” goods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and/or occupy niche markets.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 xml:space="preserve">there are sharp seasonal and other fluctuations in supply owing to the phenology of plants, migration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>patterns of animals, and/or fluctuating climatic conditions.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 xml:space="preserve">Nevertheless, from the case studies and the wider literature, it is possible to identify a number of key </w:t>
      </w: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 xml:space="preserve">constraints that are currently limiting the potential of wildlife trade, and a number of opportunities that </w:t>
      </w:r>
      <w:r>
        <w:rPr>
          <w:rFonts w:ascii="TimesNewRomanPSMT" w:hAnsi="TimesNewRomanPSMT" w:eastAsia="TimesNewRomanPSMT"/>
          <w:b w:val="0"/>
          <w:i w:val="0"/>
          <w:color w:val="323232"/>
          <w:sz w:val="22"/>
        </w:rPr>
        <w:t>might enhance that potential.</w:t>
      </w:r>
    </w:p>
    <w:p>
      <w:pPr>
        <w:autoSpaceDN w:val="0"/>
        <w:autoSpaceDE w:val="0"/>
        <w:widowControl/>
        <w:spacing w:line="318" w:lineRule="exact" w:before="33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central importance is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security of tenure over land and resource rights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Box 6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 For many,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an open-access resource. This has its advantages in that the potential benefits of trade are accessible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the poor.  The fisheries case study, for example, notes that “coastal and particular reef fisheries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of great importance to poor communities as they can be exploited by people of all ages and abilities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elderly, children and women are able to access a range of food and revenue generating products”.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trade also has low barriers to entry in that little or no capital investment is required (although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noted above, the declining populations of some species is stimulating some to take the risk of investing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 capital equipment).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28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28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90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4991100"/>
            <wp:wrapNone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991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6</w:t>
      </w:r>
    </w:p>
    <w:p>
      <w:pPr>
        <w:autoSpaceDN w:val="0"/>
        <w:autoSpaceDE w:val="0"/>
        <w:widowControl/>
        <w:spacing w:line="264" w:lineRule="auto" w:before="38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 xml:space="preserve">Insecurity of resource tenure creates problems for livelihoods in the rattan </w:t>
      </w:r>
      <w:r>
        <w:rPr>
          <w:rFonts w:ascii="GillSansMT" w:hAnsi="GillSansMT" w:eastAsia="GillSansMT"/>
          <w:b/>
          <w:i w:val="0"/>
          <w:color w:val="000000"/>
          <w:sz w:val="24"/>
        </w:rPr>
        <w:t>trade</w:t>
      </w:r>
    </w:p>
    <w:p>
      <w:pPr>
        <w:autoSpaceDN w:val="0"/>
        <w:autoSpaceDE w:val="0"/>
        <w:widowControl/>
        <w:spacing w:line="288" w:lineRule="auto" w:before="378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Rattans are one of the most important NTFPs of continental Equatorial Guinea (Rio Muni) and play a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significant role in local livelihood strategies. Men collect rattan as part of their day-to-day activities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village artisans provide products—particularly chairs—for the rest of the village. Some of these products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are bartered for traditional medicines and other household items but the majority are sold by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roadside or transported to Bata, the coastal port, for sale or export. There is currently no government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intervention in rattan management and, as an open-access resource, it is also not affected by customary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law or resource tenure issues. Generally, the village chief is paid a small levy in cash or in kind for access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to the forest regardless of whether the harvester is a villager or an outsider.</w:t>
      </w:r>
    </w:p>
    <w:p>
      <w:pPr>
        <w:autoSpaceDN w:val="0"/>
        <w:tabs>
          <w:tab w:pos="5128" w:val="left"/>
        </w:tabs>
        <w:autoSpaceDE w:val="0"/>
        <w:widowControl/>
        <w:spacing w:line="290" w:lineRule="auto" w:before="3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Owing to insecure resource tenure, the rattan is harvested indiscriminately with no consideration for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sustainable management. As a consequence, supplies are dwindling and harvesters are forced to travel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further to collect sufficient quantities. At the same time, the demand for rattan products is increasing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with the development of an urban-based middle class.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Prices are therefore increasing, resulting in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increased profits for artisans. In rural areas, however, collectors are deterred by the increasing distances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they need to travel and this—on top of resource declines—is affecting the artisans’ supplies.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Interventions aimed at improving the availability of the resource base—through better management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potentially also through cultivation—need to be developed if both the rural and urban rattan-based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livelihoods are to be sustained.</w:t>
      </w:r>
    </w:p>
    <w:p>
      <w:pPr>
        <w:autoSpaceDN w:val="0"/>
        <w:autoSpaceDE w:val="0"/>
        <w:widowControl/>
        <w:spacing w:line="294" w:lineRule="exact" w:before="360" w:after="0"/>
        <w:ind w:left="70" w:right="0" w:firstLine="0"/>
        <w:jc w:val="left"/>
      </w:pPr>
      <w:r>
        <w:rPr>
          <w:rFonts w:ascii="GillSansMT" w:hAnsi="GillSansMT" w:eastAsia="GillSansMT"/>
          <w:b w:val="0"/>
          <w:i/>
          <w:color w:val="000000"/>
          <w:sz w:val="21"/>
        </w:rPr>
        <w:t>Source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: Sunderland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al.,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2004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</w:t>
      </w:r>
    </w:p>
    <w:p>
      <w:pPr>
        <w:autoSpaceDN w:val="0"/>
        <w:autoSpaceDE w:val="0"/>
        <w:widowControl/>
        <w:spacing w:line="320" w:lineRule="exact" w:before="606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Similarly, the wild meat trade does not discriminate against the poor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fact in many respects it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positively favours the poor (Brown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2006):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432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Little if any capital investment required;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 fair proportion of the value of the product is retained by the primary producer (the hunter);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Labour inputs are easily reconciled with the agricultural cycle;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 meat is easily transportable, processed and stored with a high value/weight ratio;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There is a high degree of integration of women.</w:t>
      </w:r>
    </w:p>
    <w:p>
      <w:pPr>
        <w:autoSpaceDN w:val="0"/>
        <w:autoSpaceDE w:val="0"/>
        <w:widowControl/>
        <w:spacing w:line="316" w:lineRule="exact" w:before="33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disadvantage of open-access resources, however, is the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inability to exclude outsiders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Box 7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wild meat case study highlights how, because of the low barriers to entry, refugees in Tanzania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were easily able to penetrate the trade as hunters, middlemen and traders.  Likewise, the fisheries case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study describes how, in the marine aquarium trade, the majority of collectors in Indonesia and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Philippines are migrants who may travel long distances in search of harvesting opportunities. 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85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29</w:t>
      </w:r>
    </w:p>
    <w:p>
      <w:pPr>
        <w:sectPr>
          <w:pgSz w:w="11713" w:h="16791"/>
          <w:pgMar w:top="722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2971800"/>
            <wp:wrapNone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9718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7</w:t>
      </w:r>
    </w:p>
    <w:p>
      <w:pPr>
        <w:autoSpaceDN w:val="0"/>
        <w:autoSpaceDE w:val="0"/>
        <w:widowControl/>
        <w:spacing w:line="242" w:lineRule="auto" w:before="38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Outsiders affect the sustainability of the chewing sticks trade in Ghana</w:t>
      </w:r>
    </w:p>
    <w:p>
      <w:pPr>
        <w:autoSpaceDN w:val="0"/>
        <w:autoSpaceDE w:val="0"/>
        <w:widowControl/>
        <w:spacing w:line="288" w:lineRule="auto" w:before="378" w:after="0"/>
        <w:ind w:left="70" w:right="98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 Ghana, the trade in “chewing sticks” contributes significantly to the local, regional and national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economy. Chewing sticks are made from the split stems of a number of species of trees from the genus </w:t>
      </w:r>
      <w:r>
        <w:rPr>
          <w:rFonts w:ascii="GillSansMT" w:hAnsi="GillSansMT" w:eastAsia="GillSansMT"/>
          <w:b w:val="0"/>
          <w:i/>
          <w:color w:val="000000"/>
          <w:sz w:val="21"/>
        </w:rPr>
        <w:t xml:space="preserve">Garcinia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and are sold in the markets of Kumasi and Accra as well as being exported to Togo. Despite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importance of the chewing sticks both economically and for dental healthcare, the Forest Services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Division has paid little attention to the sustainable management of the species. No information exists as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to the current level of stocking, rate of exploitation or regenerative capacity. Local people tend to allow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small diameter trees to develop but have no way of preventing outsiders harvesting in their forests. Such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outsiders have no incentive to harvest sustainably since they are unlikely to return to the same forest.</w:t>
      </w:r>
    </w:p>
    <w:p>
      <w:pPr>
        <w:autoSpaceDN w:val="0"/>
        <w:autoSpaceDE w:val="0"/>
        <w:widowControl/>
        <w:spacing w:line="240" w:lineRule="auto" w:before="356" w:after="0"/>
        <w:ind w:left="70" w:right="0" w:firstLine="0"/>
        <w:jc w:val="left"/>
      </w:pPr>
      <w:r>
        <w:rPr>
          <w:rFonts w:ascii="GillSansMT" w:hAnsi="GillSansMT" w:eastAsia="GillSansMT"/>
          <w:b w:val="0"/>
          <w:i/>
          <w:color w:val="000000"/>
          <w:sz w:val="21"/>
        </w:rPr>
        <w:t>Source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: Blay, 2004.</w:t>
      </w:r>
    </w:p>
    <w:p>
      <w:pPr>
        <w:autoSpaceDN w:val="0"/>
        <w:autoSpaceDE w:val="0"/>
        <w:widowControl/>
        <w:spacing w:line="320" w:lineRule="exact" w:before="490" w:after="346"/>
        <w:ind w:left="0" w:right="28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is little doubt that many “outsiders” are also poor people in desperate search of a living. 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reality, however is that without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secure ownership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or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exclusive access rights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there is little incentive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for local people to invest in the long term sustainability of the wildlife resource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far better to exploit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it while it is there and before others do the same.  As the fisheries case study notes, this leads to classic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“boom and bust” patterns of development with resources being rapidly depleted in one area and then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harvest and trade moving on elsewhere.  This not only has implications for trade-related incomes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areas where stocks are depleted but also for subsistence users.</w:t>
      </w:r>
    </w:p>
    <w:p>
      <w:pPr>
        <w:sectPr>
          <w:pgSz w:w="11713" w:h="16791"/>
          <w:pgMar w:top="724" w:right="1240" w:bottom="290" w:left="1416" w:header="720" w:footer="720" w:gutter="0"/>
          <w:cols w:space="720" w:num="1" w:equalWidth="0"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8" w:lineRule="exact" w:before="0" w:after="0"/>
        <w:ind w:left="0" w:right="104" w:firstLine="0"/>
        <w:jc w:val="both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Captive, or semi-intensive, production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has been highlighted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one mechanism for reducing the pressure on wild resources,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while maintaining a regular source of supply for the trade. 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case studies illustrate local initiatives for captive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of seahorses, Humphead Wrasse, caiman and Vicuña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not all with the same degree of success. 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management, rather than captive management, is felt strongly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be the only viable approach for Vicuña wool since captive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may promote artificial selection, and result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loss of natural traits (Bonacic and Gimpel, 2003; Lichtenstein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Vila, 2003).  It is also felt that the community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approach is essential to meet both economic and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objectives (Lichtenstein and Vila, 2003).  Captive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or ranching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also practised extensively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meat industry within the private sector, but the wild meat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case study notes that on public lands this is constrained by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lack of devolved wildlife resource use rights, insecure land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tenure, insufficient capital and inappropriate skills. </w:t>
      </w:r>
    </w:p>
    <w:p>
      <w:pPr>
        <w:sectPr>
          <w:type w:val="continuous"/>
          <w:pgSz w:w="11713" w:h="16791"/>
          <w:pgMar w:top="724" w:right="1240" w:bottom="290" w:left="1416" w:header="720" w:footer="720" w:gutter="0"/>
          <w:cols w:space="720" w:num="2" w:equalWidth="0"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123.99999999999977" w:type="dxa"/>
      </w:tblPr>
      <w:tblGrid>
        <w:gridCol w:w="9057"/>
      </w:tblGrid>
      <w:tr>
        <w:trPr>
          <w:trHeight w:hRule="exact" w:val="4862"/>
        </w:trPr>
        <w:tc>
          <w:tcPr>
            <w:tcW w:type="dxa" w:w="3216"/>
            <w:tcBorders>
              <w:start w:sz="16.0" w:val="single" w:color="#222222"/>
              <w:top w:sz="16.0" w:val="single" w:color="#222222"/>
              <w:end w:sz="16.0" w:val="single" w:color="#222222"/>
              <w:bottom w:sz="16.0" w:val="single" w:color="#222222"/>
            </w:tcBorders>
            <w:shd w:fill="ffffff"/>
            <w:tcMar>
              <w:start w:w="0" w:type="dxa"/>
              <w:end w:w="0" w:type="dxa"/>
            </w:tcMar>
          </w:tcPr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3.9999999999997726" w:type="dxa"/>
            </w:tblPr>
            <w:tblGrid>
              <w:gridCol w:w="1072"/>
              <w:gridCol w:w="1072"/>
              <w:gridCol w:w="1072"/>
            </w:tblGrid>
            <w:tr>
              <w:trPr>
                <w:trHeight w:hRule="exact" w:val="298"/>
              </w:trPr>
              <w:tc>
                <w:tcPr>
                  <w:tcW w:type="dxa" w:w="9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10" w:after="0"/>
                    <w:ind w:left="0" w:right="0" w:firstLine="0"/>
                    <w:jc w:val="center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"While </w:t>
                  </w:r>
                </w:p>
              </w:tc>
              <w:tc>
                <w:tcPr>
                  <w:tcW w:type="dxa" w:w="1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10" w:after="0"/>
                    <w:ind w:left="0" w:right="0" w:firstLine="0"/>
                    <w:jc w:val="center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 xml:space="preserve">domestication </w:t>
                  </w:r>
                </w:p>
              </w:tc>
              <w:tc>
                <w:tcPr>
                  <w:tcW w:type="dxa" w:w="5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10" w:after="0"/>
                    <w:ind w:left="0" w:right="18" w:firstLine="0"/>
                    <w:jc w:val="right"/>
                  </w:pPr>
                  <w:r>
                    <w:rPr>
                      <w:rFonts w:ascii="GillSansMT" w:hAnsi="GillSansMT" w:eastAsia="GillSansMT"/>
                      <w:b/>
                      <w:i/>
                      <w:color w:val="222222"/>
                      <w:sz w:val="22"/>
                    </w:rPr>
                    <w:t>can</w:t>
                  </w:r>
                </w:p>
              </w:tc>
            </w:tr>
          </w:tbl>
          <w:p>
            <w:pPr>
              <w:autoSpaceDN w:val="0"/>
              <w:tabs>
                <w:tab w:pos="1030" w:val="left"/>
                <w:tab w:pos="1098" w:val="left"/>
                <w:tab w:pos="1222" w:val="left"/>
                <w:tab w:pos="1706" w:val="left"/>
              </w:tabs>
              <w:autoSpaceDE w:val="0"/>
              <w:widowControl/>
              <w:spacing w:line="298" w:lineRule="auto" w:before="32" w:after="0"/>
              <w:ind w:left="50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initially give a community more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control over supply of a market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product (in terms of harvest,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seasonality, etc.) it does not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guarantee that the community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can maintain control and gain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benefits. </w:t>
            </w:r>
            <w:r>
              <w:tab/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Historical patterns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suggest </w:t>
            </w:r>
            <w:r>
              <w:tab/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that </w:t>
            </w:r>
            <w:r>
              <w:tab/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domestication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contributes to the boom-bust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pattern experienced by NWFPs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in international markets. In this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sequence, </w:t>
            </w:r>
            <w:r>
              <w:tab/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the local people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often lose their advantage." </w:t>
            </w: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Clay and Clement, 1993.</w:t>
            </w:r>
          </w:p>
        </w:tc>
      </w:tr>
    </w:tbl>
    <w:p>
      <w:pPr>
        <w:autoSpaceDN w:val="0"/>
        <w:autoSpaceDE w:val="0"/>
        <w:widowControl/>
        <w:spacing w:line="14" w:lineRule="exact" w:before="0" w:after="2242"/>
        <w:ind w:left="0" w:right="0"/>
      </w:pPr>
    </w:p>
    <w:p>
      <w:pPr>
        <w:sectPr>
          <w:type w:val="nextColumn"/>
          <w:pgSz w:w="11713" w:h="16791"/>
          <w:pgMar w:top="724" w:right="1240" w:bottom="290" w:left="1416" w:header="720" w:footer="720" w:gutter="0"/>
          <w:cols w:space="720" w:num="2" w:equalWidth="0"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4090" w:val="left"/>
        </w:tabs>
        <w:autoSpaceDE w:val="0"/>
        <w:widowControl/>
        <w:spacing w:line="242" w:lineRule="auto" w:before="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30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type w:val="continuous"/>
          <w:pgSz w:w="11713" w:h="16791"/>
          <w:pgMar w:top="724" w:right="1240" w:bottom="290" w:left="1416" w:header="720" w:footer="720" w:gutter="0"/>
          <w:cols w:space="720" w:num="1" w:equalWidth="0"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4483100</wp:posOffset>
            </wp:positionV>
            <wp:extent cx="5753100" cy="3060700"/>
            <wp:wrapNone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06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8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While captive production may help secure a more regular supply of wildlife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hence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more regular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income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its potential for broad-based poverty reduction efforts is constrained by the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reduced number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of beneficiaries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While low barriers to entry are noted as a major advantage to harvesting of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resources, involvement in captive production can be constrained by the requirement for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capital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investment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often beyond the reach of many poor people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in some cases, external agencies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(including government or producer organizations) can help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Box 8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)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Within the fisheries industry,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example, aquaculture (or mariculture in marine environments) is being explored as a means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supplement the subsistence and trade uses of capture fisheries.  Aquaculture growth has been partic-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ularly strong in Asia and involves a large number of people who benefit from employment (either full-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time or more commonly as a part-time or seasonal component in a mixed livelihood), greater food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security strategy, maintenance of rural economies and opportunities for diversification (Gonzales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2006).  The requirement for capital investment, as well as access to sites, markets and processing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infrastructure and, in some cases, resource use conflicts remain, however, significant barriers to entry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the poor and may mean that benefits shift towards richer groups.  Furthermore, many species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difficult to domesticate and there are concerns that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ex situ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production may be a cover for illegal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 wild-harvested specimens.</w:t>
      </w:r>
    </w:p>
    <w:p>
      <w:pPr>
        <w:autoSpaceDN w:val="0"/>
        <w:autoSpaceDE w:val="0"/>
        <w:widowControl/>
        <w:spacing w:line="240" w:lineRule="auto" w:before="64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8</w:t>
      </w:r>
    </w:p>
    <w:p>
      <w:pPr>
        <w:autoSpaceDN w:val="0"/>
        <w:autoSpaceDE w:val="0"/>
        <w:widowControl/>
        <w:spacing w:line="240" w:lineRule="auto" w:before="382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 xml:space="preserve">Overcoming the capital investment barrier in Vicuña production </w:t>
      </w:r>
    </w:p>
    <w:p>
      <w:pPr>
        <w:autoSpaceDN w:val="0"/>
        <w:autoSpaceDE w:val="0"/>
        <w:widowControl/>
        <w:spacing w:line="240" w:lineRule="auto" w:before="378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Captive management is being increasingly promoted as a means of enhancing the benefits from the trade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in Vicuña wool. In Peru, for example, captive management was initiated in 1996 by the National Council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for South American Camelids (CONACS) and is being promoted by the government. In this case, the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communities buy the materials and build the corrals, which are 1000 ha in size and hold 250–1000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Vicuñas, on their communal lands (Lichtenstein and Vila, 2003; Sahley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 2004). CONACS provides the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fencing but communities have to repay the cost through the sale of wool. In Argentina,where only captive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management is practised, fencing materials and shearing equipment are provided by the main local wool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buyers but the cost of these has to be repaid in wool, which may take four to ten years. The Vicuñas are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provided by the State-run agricultural organization (INTA) from its own captive herd but producers have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to repay this provision using Vicuña offspring from their own stock, which may also take several years</w:t>
      </w:r>
    </w:p>
    <w:p>
      <w:pPr>
        <w:autoSpaceDN w:val="0"/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(Lichtenstein and Vila, 2003).</w:t>
      </w:r>
    </w:p>
    <w:p>
      <w:pPr>
        <w:autoSpaceDN w:val="0"/>
        <w:autoSpaceDE w:val="0"/>
        <w:widowControl/>
        <w:spacing w:line="318" w:lineRule="exact" w:before="57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length and complexity of international wildlife trade chains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limits the livelihood benefits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trade received by primary producers, who often capture a very small proportion of the product value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(although as noted above this does not seem to be the case for wild meat since the majority is not traded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internationally).  Shortening the supply chain is often seen as the easy answer to increasing income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collectors.  However, there are few examples of sustainable industries being created by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interventions that cut through a supply chain. Intermediaries in wildlife trade chain may perform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vital functions including transport, packing and risk-taking that would expose those with little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resilience to a volatile industry (Edwards, 1993). 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31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5765800</wp:posOffset>
            </wp:positionV>
            <wp:extent cx="5753100" cy="2819400"/>
            <wp:wrapNone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8194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different approach is to introduce some kind of standard, labelling or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certification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scheme that helps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promote sustainable management while at the same time generating better returns for poor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producers.  The case studies illustrate a wide variety of examples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voluntary scheme for peccary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pelts, CITES-driven tagging for crocodilian skins and labelling for Vicuña wool, a BioTrade Initiative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certification scheme for caimans and the Marine Aquarium Council (MAC)’s schemes for aquarium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What is not clear from these various schemes is whether certification does indeed generate higher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prices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fisheries case study notes that there is currently little evidence of real increases in prices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aquarium fish as a result of MAC certification, for example.  The study further points out that, if certifi-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cation does result in higher prices, it will be more attractive and more fishers will be enticed into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business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thus re-emphasising the problem of excluding outsiders highlighted above.  Experience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forest certification also shows that there is not necessarily a price premium for certified products.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Timber buyers’ groups have been determined that certified wood should be price-competitive and as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result there has been no significant increase in income to suppliers of certified products (Bass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2001).</w:t>
      </w:r>
    </w:p>
    <w:p>
      <w:pPr>
        <w:autoSpaceDN w:val="0"/>
        <w:autoSpaceDE w:val="0"/>
        <w:widowControl/>
        <w:spacing w:line="322" w:lineRule="exact" w:before="31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For many, the costs of certification itself may be prohibitive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peccary pelt certification scheme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highlights the need for significant donor investment at least in the initial stages.  This has also been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experience of timber certification where constraints have included not just high costs (particularly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community groups) but also the inability of standards to recognize the complexity of local land use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systems and relevant social issues (Bass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2001).  Recognizing these limitations, however, efforts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are being made to enhance the pro-poor potential of certification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Box 9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</w:t>
      </w:r>
    </w:p>
    <w:p>
      <w:pPr>
        <w:autoSpaceDN w:val="0"/>
        <w:autoSpaceDE w:val="0"/>
        <w:widowControl/>
        <w:spacing w:line="240" w:lineRule="auto" w:before="41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9</w:t>
      </w:r>
    </w:p>
    <w:p>
      <w:pPr>
        <w:autoSpaceDN w:val="0"/>
        <w:autoSpaceDE w:val="0"/>
        <w:widowControl/>
        <w:spacing w:line="240" w:lineRule="auto" w:before="382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Exploring the pro-poor potential of certification for food fisheries</w:t>
      </w:r>
    </w:p>
    <w:p>
      <w:pPr>
        <w:autoSpaceDN w:val="0"/>
        <w:autoSpaceDE w:val="0"/>
        <w:widowControl/>
        <w:spacing w:line="240" w:lineRule="auto" w:before="380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The establishment of the Marine Stewardship Council (MSC), a marine fisheries ecosystem certifying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body, in 1997 and the adoption of FAO Guidelines for Eco-labelling on Fish and Fishery Products in 2005,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has led to interest in the role of certification in promoting environmentally sustainable and socially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equitable trade in fishery products. Certification is currently mainly being used for industrialized marine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fisheries of developed countries, as the high costs of certification and the quality of data needed to apply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standards have made participation of poor countries, and poor people, difficult (Macfadyen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2005). However, the MSC with its partners (</w:t>
      </w:r>
      <w:r>
        <w:rPr>
          <w:rFonts w:ascii="GillSansMT" w:hAnsi="GillSansMT" w:eastAsia="GillSansMT"/>
          <w:b w:val="0"/>
          <w:i/>
          <w:color w:val="000000"/>
          <w:sz w:val="21"/>
        </w:rPr>
        <w:t>Deutsche Gesellschaft für Technische Zusammenarbeit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(GTZ),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WWF, private sector, government institutions and others) is now addressing the issue of small-scale</w:t>
      </w:r>
    </w:p>
    <w:p>
      <w:pPr>
        <w:autoSpaceDN w:val="0"/>
        <w:autoSpaceDE w:val="0"/>
        <w:widowControl/>
        <w:spacing w:line="240" w:lineRule="auto" w:before="56" w:after="0"/>
        <w:ind w:left="0" w:right="0" w:firstLine="0"/>
        <w:jc w:val="center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fisheries in developing countries and considering how the MSC criteria could be modified and applied so</w:t>
      </w:r>
    </w:p>
    <w:p>
      <w:pPr>
        <w:autoSpaceDN w:val="0"/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that poor fishers are not excluded.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2654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32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2908300</wp:posOffset>
            </wp:positionV>
            <wp:extent cx="5753100" cy="3403600"/>
            <wp:wrapNone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4036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Even if certification has little impact on the prices captured by primary producers, it is hoped that it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may help to promote a more sustainable, better-managed trade.  MAC certification, for example,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reported to be reinforcing the ban in the use of cyanide in Asian fisheries and strengthening marine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protected areas in the Philippines.  This not only has implications for the target species but also for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broader ecological benefits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Sustainable management of the seahorse trade, for example, can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potentially stimulate the protection of areas of habitat that will benefit other reef species.  Where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sustainable management approach has been taken, and a no-take area imposed, as at Handuman,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populations of seahorses and other fish are recovering, and habitat quality has improved (Vincent,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1997). </w:t>
      </w:r>
    </w:p>
    <w:p>
      <w:pPr>
        <w:autoSpaceDN w:val="0"/>
        <w:autoSpaceDE w:val="0"/>
        <w:widowControl/>
        <w:spacing w:line="240" w:lineRule="auto" w:before="404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Box 10</w:t>
      </w:r>
    </w:p>
    <w:p>
      <w:pPr>
        <w:autoSpaceDN w:val="0"/>
        <w:autoSpaceDE w:val="0"/>
        <w:widowControl/>
        <w:spacing w:line="240" w:lineRule="auto" w:before="382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Could CITES be a standard for sustainable trade?</w:t>
      </w:r>
    </w:p>
    <w:p>
      <w:pPr>
        <w:autoSpaceDN w:val="0"/>
        <w:autoSpaceDE w:val="0"/>
        <w:widowControl/>
        <w:spacing w:line="290" w:lineRule="auto" w:before="370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Some might argue that CITES is already in effect a certification system, since its various processes—such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as the need for “non-detriment findings”—effectively certify that international trade is sustainable. A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number of the Forest Stewardship Principles promoted by the Forest Stewardship Council (FSC)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demonstrate the extent to which CITES would have to change to embrace socio-economic elements: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Principle 3, on Indigenous Peoples’ Rights, states that “the legal and customary rights of indigenous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peoples to own, use and manage their lands, territories, and resources shall be recognized and respected”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and Principle 5, on Benefits from the Forest, which notes that “Forest management operations shall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encourage the efficient use of the forest’s multiple products and services to ensure economic viability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a wide range of environmental and social benefits” (FSC, 2000).</w:t>
      </w:r>
    </w:p>
    <w:p>
      <w:pPr>
        <w:autoSpaceDN w:val="0"/>
        <w:autoSpaceDE w:val="0"/>
        <w:widowControl/>
        <w:spacing w:line="278" w:lineRule="auto" w:before="356" w:after="0"/>
        <w:ind w:left="70" w:right="92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Expanding the scope of a number of existing CITES procedures in the spirit of the FSC Principles, for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example to assess whether implementation of proposed trade controls would have a negative livelihoods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impact—as was agreed at CoP14 (see </w:t>
      </w:r>
      <w:r>
        <w:rPr>
          <w:rFonts w:ascii="GillSansMT" w:hAnsi="GillSansMT" w:eastAsia="GillSansMT"/>
          <w:b/>
          <w:i w:val="0"/>
          <w:color w:val="000000"/>
          <w:sz w:val="21"/>
        </w:rPr>
        <w:t>Box 1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)—is certainly a move in the right direction.</w:t>
      </w:r>
    </w:p>
    <w:p>
      <w:pPr>
        <w:autoSpaceDN w:val="0"/>
        <w:autoSpaceDE w:val="0"/>
        <w:widowControl/>
        <w:spacing w:line="240" w:lineRule="auto" w:before="842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323232"/>
          <w:sz w:val="28"/>
        </w:rPr>
        <w:t xml:space="preserve">CONCLUSIONS 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trade is a globally significant industry that can generate benefits for poor people and can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contribute to many of the MDGs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directly and indirectly. In many cases, however, wildlife trade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unregulated, unmanaged or poorly managed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often resulting in losses for both biodiversity conser-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vation and for poor people’s livelihoods.  Unsustainable wildlife trade has caused major population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declines for a number of species—in turn limiting the ability of local people to exploit these species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subsistence use or to derive income from them over the long term.  At the same time, inappropriate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 interventions can result in losses of opportunity for poor people, with little or no conser-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vation benefit.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22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33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4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On the other hand, well-managed trade can reverse declines in threatened species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well as prevent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non-threatened species from becoming over-exploited.  This can open up new opportunities for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generation as well as securing subsistence resources for food, health and other needs.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Under the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appropriate conditions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sustainable, well-managed wildlife trade can thus contribute significantly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securing sustainable livelihoods at the local level and to delivering on the MDGs at the national level.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interventions are not a quick-fix solution, however.  Even the best-managed trade can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limited in the benefits it can provide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largely because of the nature of wildlife products and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relatively limited scope for their commercialization, but also because of weak governance regimes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insecure land and resource tenure. It is also noted that poor producers are generally at the bottom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very long and complex wildlife trade chains and consequently often capture a very small proportion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high values that are commonly associated with the trade. Shortening trade chains is not as straight-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forward as it may seem, since middlemen often play a critical role in linking primary producers with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external markets, providing credit, storage, transport and so on.  Certification schemes and private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voluntary standards seem to have potential for enhancing the sustainability of the trade as well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improving returns for poor producers. </w:t>
      </w:r>
    </w:p>
    <w:p>
      <w:pPr>
        <w:autoSpaceDN w:val="0"/>
        <w:autoSpaceDE w:val="0"/>
        <w:widowControl/>
        <w:spacing w:line="320" w:lineRule="exact" w:before="32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Alongside certification, captive breeding—or other forms of intensive production—can provide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opportunities for increasing production, but these approaches face their own challenges and need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continued experimentation and refinement if they are not to present barriers to entry for poor people.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Regardless, despite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indeed because of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limitations of commercial wildlife trade it is vitally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important that where wildlife trade does occur it is sustainable and well managed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either to maximize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benefits it can bring, or to ensure that it does not undermine the subsistence use of wildlife on which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so many people depend.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already noted, the potential losses to GDP earnings from poor governance of commercial timber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fisheries resources is causing international concern.  Given the lack of knowledge about the signif-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icance of the domestic and international wildlife trade and the lack of recognition in national accounts,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significant losses could also be occurring with other resources as a result of poor trade management.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key priority, therefore, is to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address the current knowledge gaps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surrounding the significance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wildlife trade to poor people and the impacts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positive and negative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the various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approaches being applied.  Twenty years ago, an FAO study noted that “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Despite the obvious contri-</w:t>
      </w:r>
    </w:p>
    <w:p>
      <w:pPr>
        <w:autoSpaceDN w:val="0"/>
        <w:autoSpaceDE w:val="0"/>
        <w:widowControl/>
        <w:spacing w:line="320" w:lineRule="exact" w:before="0" w:after="0"/>
        <w:ind w:left="0" w:right="0" w:firstLine="0"/>
        <w:jc w:val="center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bution of wildlife to the socio-economic life in Africa, there are currently no comprehensive and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reliable estimates on total supply, trade and consumption of wildlife in any African country”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and</w:t>
      </w:r>
    </w:p>
    <w:p>
      <w:pPr>
        <w:autoSpaceDN w:val="0"/>
        <w:autoSpaceDE w:val="0"/>
        <w:widowControl/>
        <w:spacing w:line="320" w:lineRule="exact" w:before="0" w:after="0"/>
        <w:ind w:left="0" w:right="22" w:firstLine="0"/>
        <w:jc w:val="both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“Accurate information on income accruing to local communities from the marketing of [skins, hides,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bones, shells, horns] is not available for any African country”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(Ntiamoa-Baidu, 1987).  Things are not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much further on today.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254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34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0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Knowledge gaps aside, drawing on experience from the case studies in this report, and the preceding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discussion of constraints and opportunities, enhancing the contribution of wildlife trade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sustainable livelihoods and to the MDGs implies: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Far greater attention to biodiversity governance so that local people have security of tenure over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land and resources giving them an incentive for sustainable management and an authority to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exclude outsiders;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Further exploration of semi-intensive production mechanisms that do not present barriers to entry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for poor people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might mean coupling new production technologies with access to credit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training;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Further analysis of sustainable off-take levels for species in trade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before populations reach critical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levels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experimentation with management regimes that can support those, without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undermining local people’s livelihoods;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Development of “pro-poor” approaches to standards and certification that encourage sustainable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 while at the same time generating decent returns for poor producers;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br/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Recognition of the links between different components of wildlife trade and the need for a co-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ordinated approach to its management.  Some research, for example, demonstrates a link between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meat exploitation and the availability of fish as a substitute.  There is also considerable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evidence that timber harvesting can increase pressures on wildlife by opening up forests for hunters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providing new transport links to local and remote markets;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Further development of innovative approaches being put in place to address the unsustainable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harvest of the most commercially valuable commodities (timber, fish) to other parts of wildlife trade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whose value may be unrecognized;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Recognition of the link between consumer demand and unsustainable production and associated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attention to awareness-raising in consumer countries;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Greater integration of commercial use of, and subsistence requirements for, wildlife resources so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that the one use does not undermine the other.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recent report by WWF notes that “the principles of sustainable use and benefit sharing embodied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MDGs and the CBD are mutually supportive, but the challenge lies in the implementation; partic-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ularly using the inter-linkages between biodiversity and people for the benefit of both” (WWF, 2006).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Sustainable wildlife trade offers one mechanism for achieving this synergy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but only if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appropriate to local people’s needs. 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414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35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1075690</wp:posOffset>
            </wp:positionH>
            <wp:positionV relativeFrom="page">
              <wp:posOffset>6430010</wp:posOffset>
            </wp:positionV>
            <wp:extent cx="3651250" cy="2598979"/>
            <wp:wrapNone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51250" cy="259897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1066800</wp:posOffset>
            </wp:positionH>
            <wp:positionV relativeFrom="page">
              <wp:posOffset>6413500</wp:posOffset>
            </wp:positionV>
            <wp:extent cx="3670300" cy="2628900"/>
            <wp:wrapNone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6289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rPr>
          <w:rFonts w:ascii="GillSansMT" w:hAnsi="GillSansMT" w:eastAsia="GillSansMT"/>
          <w:b/>
          <w:i w:val="0"/>
          <w:color w:val="797979"/>
          <w:sz w:val="31"/>
        </w:rPr>
        <w:t>C</w:t>
      </w:r>
      <w:r>
        <w:rPr>
          <w:w w:val="101.73912877621858"/>
          <w:rFonts w:ascii="GillSansMT" w:hAnsi="GillSansMT" w:eastAsia="GillSansMT"/>
          <w:b/>
          <w:i w:val="0"/>
          <w:color w:val="797979"/>
          <w:sz w:val="23"/>
        </w:rPr>
        <w:t>ASE</w:t>
      </w:r>
      <w:r>
        <w:rPr>
          <w:rFonts w:ascii="GillSansMT" w:hAnsi="GillSansMT" w:eastAsia="GillSansMT"/>
          <w:b/>
          <w:i w:val="0"/>
          <w:color w:val="797979"/>
          <w:sz w:val="31"/>
        </w:rPr>
        <w:t xml:space="preserve"> S</w:t>
      </w:r>
      <w:r>
        <w:rPr>
          <w:w w:val="101.73912877621858"/>
          <w:rFonts w:ascii="GillSansMT" w:hAnsi="GillSansMT" w:eastAsia="GillSansMT"/>
          <w:b/>
          <w:i w:val="0"/>
          <w:color w:val="797979"/>
          <w:sz w:val="23"/>
        </w:rPr>
        <w:t>TUDIES</w:t>
      </w:r>
      <w:r>
        <w:rPr>
          <w:rFonts w:ascii="GillSansMT" w:hAnsi="GillSansMT" w:eastAsia="GillSansMT"/>
          <w:b/>
          <w:i w:val="0"/>
          <w:color w:val="797979"/>
          <w:sz w:val="31"/>
        </w:rPr>
        <w:t>—W</w:t>
      </w:r>
      <w:r>
        <w:rPr>
          <w:w w:val="101.73912877621858"/>
          <w:rFonts w:ascii="GillSansMT" w:hAnsi="GillSansMT" w:eastAsia="GillSansMT"/>
          <w:b/>
          <w:i w:val="0"/>
          <w:color w:val="797979"/>
          <w:sz w:val="23"/>
        </w:rPr>
        <w:t>ILDLIFE</w:t>
      </w:r>
      <w:r>
        <w:rPr>
          <w:rFonts w:ascii="GillSansMT" w:hAnsi="GillSansMT" w:eastAsia="GillSansMT"/>
          <w:b/>
          <w:i w:val="0"/>
          <w:color w:val="797979"/>
          <w:sz w:val="31"/>
        </w:rPr>
        <w:t xml:space="preserve"> T</w:t>
      </w:r>
      <w:r>
        <w:rPr>
          <w:w w:val="101.73912877621858"/>
          <w:rFonts w:ascii="GillSansMT" w:hAnsi="GillSansMT" w:eastAsia="GillSansMT"/>
          <w:b/>
          <w:i w:val="0"/>
          <w:color w:val="797979"/>
          <w:sz w:val="23"/>
        </w:rPr>
        <w:t>RADE</w:t>
      </w:r>
      <w:r>
        <w:rPr>
          <w:rFonts w:ascii="GillSansMT" w:hAnsi="GillSansMT" w:eastAsia="GillSansMT"/>
          <w:b/>
          <w:i w:val="0"/>
          <w:color w:val="797979"/>
          <w:sz w:val="31"/>
        </w:rPr>
        <w:t xml:space="preserve"> M</w:t>
      </w:r>
      <w:r>
        <w:rPr>
          <w:w w:val="101.73912877621858"/>
          <w:rFonts w:ascii="GillSansMT" w:hAnsi="GillSansMT" w:eastAsia="GillSansMT"/>
          <w:b/>
          <w:i w:val="0"/>
          <w:color w:val="797979"/>
          <w:sz w:val="23"/>
        </w:rPr>
        <w:t>ANAGEMENT IN</w:t>
      </w:r>
      <w:r>
        <w:rPr>
          <w:rFonts w:ascii="GillSansMT" w:hAnsi="GillSansMT" w:eastAsia="GillSansMT"/>
          <w:b/>
          <w:i w:val="0"/>
          <w:color w:val="797979"/>
          <w:sz w:val="31"/>
        </w:rPr>
        <w:t xml:space="preserve"> P</w:t>
      </w:r>
      <w:r>
        <w:rPr>
          <w:w w:val="101.73912877621858"/>
          <w:rFonts w:ascii="GillSansMT" w:hAnsi="GillSansMT" w:eastAsia="GillSansMT"/>
          <w:b/>
          <w:i w:val="0"/>
          <w:color w:val="797979"/>
          <w:sz w:val="23"/>
        </w:rPr>
        <w:t>RACTICE</w:t>
      </w:r>
    </w:p>
    <w:p>
      <w:pPr>
        <w:autoSpaceDN w:val="0"/>
        <w:autoSpaceDE w:val="0"/>
        <w:widowControl/>
        <w:spacing w:line="252" w:lineRule="auto" w:before="348" w:after="0"/>
        <w:ind w:left="3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CASE STUDY 1: THE TRADE IN WILD MEAT IN EAST AND </w:t>
      </w:r>
      <w:r>
        <w:rPr>
          <w:rFonts w:ascii="GillSansMT" w:hAnsi="GillSansMT" w:eastAsia="GillSansMT"/>
          <w:b/>
          <w:i w:val="0"/>
          <w:color w:val="000000"/>
          <w:sz w:val="28"/>
        </w:rPr>
        <w:t>SOUTHERN AFRICA</w:t>
      </w:r>
    </w:p>
    <w:p>
      <w:pPr>
        <w:autoSpaceDN w:val="0"/>
        <w:autoSpaceDE w:val="0"/>
        <w:widowControl/>
        <w:spacing w:line="240" w:lineRule="auto" w:before="316" w:after="0"/>
        <w:ind w:left="3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The nature and scale of the wild meat trade</w:t>
      </w:r>
    </w:p>
    <w:p>
      <w:pPr>
        <w:autoSpaceDN w:val="0"/>
        <w:autoSpaceDE w:val="0"/>
        <w:widowControl/>
        <w:spacing w:line="320" w:lineRule="exact" w:before="318" w:after="0"/>
        <w:ind w:left="30" w:right="3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Human beings across the world have relied on wild animals as a source of food and other products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throughout human history and many continue to do so today.  This is particularly true in East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Southern Africa, where animals are hunted for meat for subsistence purposes and, increasingly,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trade.  This use and trade touches on both conservation and development policy agendas.  Many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whose meat is traded are of high conservation concern and their roles in local and regional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ecologies not necessarily well known.  What is certain is that wild meat use is currently having far-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reaching impacts on wildlife populations in the region, including those within protected areas.  At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same time, the consumption and trade of wild meat is a central feature of the livelihoods of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people in East and Southern Africa.  Addressing the declines of wild species on which people depend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therefore particularly linked to delivering on the MDGs related to poverty and hunger (1)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environmental sustainability (7).</w:t>
      </w:r>
    </w:p>
    <w:p>
      <w:pPr>
        <w:autoSpaceDN w:val="0"/>
        <w:autoSpaceDE w:val="0"/>
        <w:widowControl/>
        <w:spacing w:line="320" w:lineRule="exact" w:before="320" w:after="0"/>
        <w:ind w:left="30" w:right="3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importance of wild meat to the livelihoods of the poor in the countries of East and Southern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African hinges on its place as an important source of food, particularly protein.  Access to nutritional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food is especially important for pregnant women and young children, making wild meat an important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feature of maternal and child health (MDGs 4 and 5). </w:t>
      </w:r>
    </w:p>
    <w:p>
      <w:pPr>
        <w:autoSpaceDN w:val="0"/>
        <w:autoSpaceDE w:val="0"/>
        <w:widowControl/>
        <w:spacing w:line="320" w:lineRule="exact" w:before="320" w:after="12"/>
        <w:ind w:left="0" w:right="30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wide variety of species hunted for meat reflects the variety of Africa’s ecosystems and includes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most of the large herbivores and primates and some carnivores, birds, reptiles and rodents.  In East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Southern Africa, the larger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of herbivore, such as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Cape Buffalo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Syncerus caffer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Impala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Aepyceros melampus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Eland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Taurotragus oryx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and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3134.0" w:type="dxa"/>
      </w:tblPr>
      <w:tblGrid>
        <w:gridCol w:w="3030"/>
        <w:gridCol w:w="3030"/>
        <w:gridCol w:w="3030"/>
      </w:tblGrid>
      <w:tr>
        <w:trPr>
          <w:trHeight w:hRule="exact" w:val="320"/>
        </w:trPr>
        <w:tc>
          <w:tcPr>
            <w:tcW w:type="dxa" w:w="3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9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Lesser </w:t>
            </w:r>
          </w:p>
        </w:tc>
        <w:tc>
          <w:tcPr>
            <w:tcW w:type="dxa" w:w="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Kudu </w:t>
            </w:r>
          </w:p>
        </w:tc>
        <w:tc>
          <w:tcPr>
            <w:tcW w:type="dxa" w:w="12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118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Tragelaphus</w:t>
            </w:r>
          </w:p>
        </w:tc>
      </w:tr>
    </w:tbl>
    <w:p>
      <w:pPr>
        <w:autoSpaceDN w:val="0"/>
        <w:autoSpaceDE w:val="0"/>
        <w:widowControl/>
        <w:spacing w:line="294" w:lineRule="exact" w:before="14" w:after="12"/>
        <w:ind w:left="0" w:right="32" w:firstLine="0"/>
        <w:jc w:val="righ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imberbis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, account for large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30"/>
        <w:gridCol w:w="3030"/>
        <w:gridCol w:w="3030"/>
      </w:tblGrid>
      <w:tr>
        <w:trPr>
          <w:trHeight w:hRule="exact" w:val="316"/>
        </w:trPr>
        <w:tc>
          <w:tcPr>
            <w:tcW w:type="dxa" w:w="254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6" w:lineRule="exact" w:before="0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Martin Harvey/WWF-Canon </w:t>
            </w:r>
          </w:p>
        </w:tc>
        <w:tc>
          <w:tcPr>
            <w:tcW w:type="dxa" w:w="33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232" w:after="0"/>
              <w:ind w:left="66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 xml:space="preserve">Eland </w:t>
            </w:r>
            <w:r>
              <w:rPr>
                <w:rFonts w:ascii="GillSansMT" w:hAnsi="GillSansMT" w:eastAsia="GillSansMT"/>
                <w:b/>
                <w:i/>
                <w:color w:val="A9A9A9"/>
                <w:sz w:val="20"/>
              </w:rPr>
              <w:t>Taurotragus oryx</w:t>
            </w: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, Kenya</w:t>
            </w:r>
          </w:p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proportions of wild meat</w:t>
            </w:r>
          </w:p>
        </w:tc>
      </w:tr>
      <w:tr>
        <w:trPr>
          <w:trHeight w:hRule="exact" w:val="320"/>
        </w:trPr>
        <w:tc>
          <w:tcPr>
            <w:tcW w:type="dxa" w:w="3030"/>
            <w:vMerge/>
            <w:tcBorders/>
          </w:tcPr>
          <w:p/>
        </w:tc>
        <w:tc>
          <w:tcPr>
            <w:tcW w:type="dxa" w:w="3030"/>
            <w:vMerge/>
            <w:tcBorders/>
          </w:tcPr>
          <w:p/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8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supplied but hunting is thought</w:t>
            </w:r>
          </w:p>
        </w:tc>
      </w:tr>
      <w:tr>
        <w:trPr>
          <w:trHeight w:hRule="exact" w:val="320"/>
        </w:trPr>
        <w:tc>
          <w:tcPr>
            <w:tcW w:type="dxa" w:w="3030"/>
            <w:vMerge/>
            <w:tcBorders/>
          </w:tcPr>
          <w:p/>
        </w:tc>
        <w:tc>
          <w:tcPr>
            <w:tcW w:type="dxa" w:w="3030"/>
            <w:vMerge/>
            <w:tcBorders/>
          </w:tcPr>
          <w:p/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8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to be unsustainable at current</w:t>
            </w:r>
          </w:p>
        </w:tc>
      </w:tr>
      <w:tr>
        <w:trPr>
          <w:trHeight w:hRule="exact" w:val="320"/>
        </w:trPr>
        <w:tc>
          <w:tcPr>
            <w:tcW w:type="dxa" w:w="3030"/>
            <w:vMerge/>
            <w:tcBorders/>
          </w:tcPr>
          <w:p/>
        </w:tc>
        <w:tc>
          <w:tcPr>
            <w:tcW w:type="dxa" w:w="3030"/>
            <w:vMerge/>
            <w:tcBorders/>
          </w:tcPr>
          <w:p/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8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levels, given poor adaptation of</w:t>
            </w:r>
          </w:p>
        </w:tc>
      </w:tr>
      <w:tr>
        <w:trPr>
          <w:trHeight w:hRule="exact" w:val="320"/>
        </w:trPr>
        <w:tc>
          <w:tcPr>
            <w:tcW w:type="dxa" w:w="3030"/>
            <w:vMerge/>
            <w:tcBorders/>
          </w:tcPr>
          <w:p/>
        </w:tc>
        <w:tc>
          <w:tcPr>
            <w:tcW w:type="dxa" w:w="3030"/>
            <w:vMerge/>
            <w:tcBorders/>
          </w:tcPr>
          <w:p/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8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these species to modified</w:t>
            </w:r>
          </w:p>
        </w:tc>
      </w:tr>
      <w:tr>
        <w:trPr>
          <w:trHeight w:hRule="exact" w:val="320"/>
        </w:trPr>
        <w:tc>
          <w:tcPr>
            <w:tcW w:type="dxa" w:w="3030"/>
            <w:vMerge/>
            <w:tcBorders/>
          </w:tcPr>
          <w:p/>
        </w:tc>
        <w:tc>
          <w:tcPr>
            <w:tcW w:type="dxa" w:w="3030"/>
            <w:vMerge/>
            <w:tcBorders/>
          </w:tcPr>
          <w:p/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8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habitats and their reproductive</w:t>
            </w:r>
          </w:p>
        </w:tc>
      </w:tr>
      <w:tr>
        <w:trPr>
          <w:trHeight w:hRule="exact" w:val="320"/>
        </w:trPr>
        <w:tc>
          <w:tcPr>
            <w:tcW w:type="dxa" w:w="3030"/>
            <w:vMerge/>
            <w:tcBorders/>
          </w:tcPr>
          <w:p/>
        </w:tc>
        <w:tc>
          <w:tcPr>
            <w:tcW w:type="dxa" w:w="3030"/>
            <w:vMerge/>
            <w:tcBorders/>
          </w:tcPr>
          <w:p/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8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patterns (late sexual maturity</w:t>
            </w:r>
          </w:p>
        </w:tc>
      </w:tr>
      <w:tr>
        <w:trPr>
          <w:trHeight w:hRule="exact" w:val="1030"/>
        </w:trPr>
        <w:tc>
          <w:tcPr>
            <w:tcW w:type="dxa" w:w="25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auto" w:before="1748" w:after="0"/>
              <w:ind w:left="0" w:right="0" w:firstLine="0"/>
              <w:jc w:val="center"/>
            </w:pPr>
            <w:r>
              <w:rPr>
                <w:w w:val="97.50000238418579"/>
                <w:rFonts w:ascii="GillSansMT" w:hAnsi="GillSansMT" w:eastAsia="GillSansMT"/>
                <w:b w:val="0"/>
                <w:i w:val="0"/>
                <w:color w:val="919191"/>
                <w:sz w:val="16"/>
              </w:rPr>
              <w:t>36</w:t>
            </w:r>
          </w:p>
        </w:tc>
        <w:tc>
          <w:tcPr>
            <w:tcW w:type="dxa" w:w="3030"/>
            <w:vMerge/>
            <w:tcBorders/>
          </w:tcPr>
          <w:p/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8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and long gestation periods).</w:t>
            </w:r>
          </w:p>
        </w:tc>
      </w:tr>
      <w:tr>
        <w:trPr>
          <w:trHeight w:hRule="exact" w:val="880"/>
        </w:trPr>
        <w:tc>
          <w:tcPr>
            <w:tcW w:type="dxa" w:w="3030"/>
            <w:vMerge/>
            <w:tcBorders/>
          </w:tcPr>
          <w:p/>
        </w:tc>
        <w:tc>
          <w:tcPr>
            <w:tcW w:type="dxa" w:w="3030"/>
            <w:vMerge/>
            <w:tcBorders/>
          </w:tcPr>
          <w:p/>
        </w:tc>
        <w:tc>
          <w:tcPr>
            <w:tcW w:type="dxa" w:w="5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auto" w:before="718" w:after="0"/>
              <w:ind w:left="546" w:right="0" w:firstLine="0"/>
              <w:jc w:val="left"/>
            </w:pPr>
            <w:r>
              <w:rPr>
                <w:w w:val="97.50000238418579"/>
                <w:rFonts w:ascii="GillSansMT" w:hAnsi="GillSansMT" w:eastAsia="GillSansMT"/>
                <w:b w:val="0"/>
                <w:i w:val="0"/>
                <w:color w:val="919191"/>
                <w:sz w:val="16"/>
              </w:rPr>
              <w:t>TRADING NATURE:Wildlife trade and the Millennium Development Goals</w:t>
            </w:r>
          </w:p>
        </w:tc>
      </w:tr>
    </w:tbl>
    <w:p>
      <w:pPr>
        <w:autoSpaceDN w:val="0"/>
        <w:autoSpaceDE w:val="0"/>
        <w:widowControl/>
        <w:spacing w:line="14" w:lineRule="exact" w:before="0" w:after="0"/>
        <w:ind w:left="0" w:right="0"/>
      </w:pPr>
    </w:p>
    <w:p>
      <w:pPr>
        <w:sectPr>
          <w:pgSz w:w="11713" w:h="16791"/>
          <w:pgMar w:top="680" w:right="1238" w:bottom="290" w:left="1386" w:header="720" w:footer="720" w:gutter="0"/>
          <w:cols w:space="720" w:num="1" w:equalWidth="0"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7188200</wp:posOffset>
            </wp:positionV>
            <wp:extent cx="5753100" cy="1955800"/>
            <wp:wrapNone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9558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3111500</wp:posOffset>
            </wp:positionH>
            <wp:positionV relativeFrom="page">
              <wp:posOffset>916940</wp:posOffset>
            </wp:positionV>
            <wp:extent cx="3359150" cy="2218307"/>
            <wp:wrapNone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221830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3098800</wp:posOffset>
            </wp:positionH>
            <wp:positionV relativeFrom="page">
              <wp:posOffset>901700</wp:posOffset>
            </wp:positionV>
            <wp:extent cx="3378200" cy="2247900"/>
            <wp:wrapNone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22479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4" w:lineRule="exact" w:before="0" w:after="14"/>
        <w:ind w:left="0" w:right="579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Many smaller species are also used,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such as Common Duiker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Sylvicapra </w:t>
      </w:r>
      <w:r>
        <w:br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grimmia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Scrub Hare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Lepus saxatilis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several species of Cane Rat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293"/>
        <w:gridCol w:w="1293"/>
        <w:gridCol w:w="1293"/>
        <w:gridCol w:w="1293"/>
        <w:gridCol w:w="1293"/>
        <w:gridCol w:w="1293"/>
        <w:gridCol w:w="1293"/>
      </w:tblGrid>
      <w:tr>
        <w:trPr>
          <w:trHeight w:hRule="exact" w:val="318"/>
        </w:trPr>
        <w:tc>
          <w:tcPr>
            <w:tcW w:type="dxa" w:w="336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Thryonomys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spp., especially in</w:t>
            </w:r>
          </w:p>
        </w:tc>
        <w:tc>
          <w:tcPr>
            <w:tcW w:type="dxa" w:w="54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404" w:after="0"/>
              <w:ind w:left="130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 xml:space="preserve">Cape Buffalo </w:t>
            </w:r>
            <w:r>
              <w:rPr>
                <w:rFonts w:ascii="GillSansMT" w:hAnsi="GillSansMT" w:eastAsia="GillSansMT"/>
                <w:b/>
                <w:i/>
                <w:color w:val="A9A9A9"/>
                <w:sz w:val="20"/>
              </w:rPr>
              <w:t>Syncerus caffer</w:t>
            </w: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,a source of wild meat in East</w:t>
            </w:r>
          </w:p>
        </w:tc>
        <w:tc>
          <w:tcPr>
            <w:tcW w:type="dxa" w:w="24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8" w:lineRule="exact" w:before="26" w:after="0"/>
              <w:ind w:left="0" w:right="204" w:firstLine="0"/>
              <w:jc w:val="righ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Martin Harvey/WWF-Canon </w:t>
            </w:r>
          </w:p>
        </w:tc>
      </w:tr>
      <w:tr>
        <w:trPr>
          <w:trHeight w:hRule="exact" w:val="320"/>
        </w:trPr>
        <w:tc>
          <w:tcPr>
            <w:tcW w:type="dxa" w:w="336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countries like Malawi where many of</w:t>
            </w:r>
          </w:p>
        </w:tc>
        <w:tc>
          <w:tcPr>
            <w:tcW w:type="dxa" w:w="1293"/>
            <w:vMerge/>
            <w:tcBorders/>
          </w:tcPr>
          <w:p/>
        </w:tc>
        <w:tc>
          <w:tcPr>
            <w:tcW w:type="dxa" w:w="1293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the larger species no longer exist</w:t>
            </w:r>
          </w:p>
        </w:tc>
        <w:tc>
          <w:tcPr>
            <w:tcW w:type="dxa" w:w="1293"/>
            <w:vMerge/>
            <w:tcBorders/>
          </w:tcPr>
          <w:p/>
        </w:tc>
        <w:tc>
          <w:tcPr>
            <w:tcW w:type="dxa" w:w="1293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8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because </w:t>
            </w:r>
          </w:p>
        </w:tc>
        <w:tc>
          <w:tcPr>
            <w:tcW w:type="dxa" w:w="4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of </w:t>
            </w:r>
          </w:p>
        </w:tc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habitat </w:t>
            </w:r>
          </w:p>
        </w:tc>
        <w:tc>
          <w:tcPr>
            <w:tcW w:type="dxa" w:w="6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loss </w:t>
            </w:r>
          </w:p>
        </w:tc>
        <w:tc>
          <w:tcPr>
            <w:tcW w:type="dxa" w:w="5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and</w:t>
            </w:r>
          </w:p>
        </w:tc>
        <w:tc>
          <w:tcPr>
            <w:tcW w:type="dxa" w:w="1293"/>
            <w:vMerge/>
            <w:tcBorders/>
          </w:tcPr>
          <w:p/>
        </w:tc>
        <w:tc>
          <w:tcPr>
            <w:tcW w:type="dxa" w:w="1293"/>
            <w:vMerge/>
            <w:tcBorders/>
          </w:tcPr>
          <w:p/>
        </w:tc>
      </w:tr>
      <w:tr>
        <w:trPr>
          <w:trHeight w:hRule="exact" w:val="480"/>
        </w:trPr>
        <w:tc>
          <w:tcPr>
            <w:tcW w:type="dxa" w:w="336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hunting/poaching (Barnett, 2000). </w:t>
            </w:r>
          </w:p>
        </w:tc>
        <w:tc>
          <w:tcPr>
            <w:tcW w:type="dxa" w:w="1293"/>
            <w:vMerge/>
            <w:tcBorders/>
          </w:tcPr>
          <w:p/>
        </w:tc>
        <w:tc>
          <w:tcPr>
            <w:tcW w:type="dxa" w:w="1293"/>
            <w:vMerge/>
            <w:tcBorders/>
          </w:tcPr>
          <w:p/>
        </w:tc>
      </w:tr>
      <w:tr>
        <w:trPr>
          <w:trHeight w:hRule="exact" w:val="480"/>
        </w:trPr>
        <w:tc>
          <w:tcPr>
            <w:tcW w:type="dxa" w:w="336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7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The vast majority of trade in wild</w:t>
            </w:r>
          </w:p>
        </w:tc>
        <w:tc>
          <w:tcPr>
            <w:tcW w:type="dxa" w:w="1293"/>
            <w:vMerge/>
            <w:tcBorders/>
          </w:tcPr>
          <w:p/>
        </w:tc>
        <w:tc>
          <w:tcPr>
            <w:tcW w:type="dxa" w:w="1293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meat is illegal and thus criminalized.</w:t>
            </w:r>
          </w:p>
        </w:tc>
        <w:tc>
          <w:tcPr>
            <w:tcW w:type="dxa" w:w="1293"/>
            <w:vMerge/>
            <w:tcBorders/>
          </w:tcPr>
          <w:p/>
        </w:tc>
        <w:tc>
          <w:tcPr>
            <w:tcW w:type="dxa" w:w="1293"/>
            <w:vMerge/>
            <w:tcBorders/>
          </w:tcPr>
          <w:p/>
        </w:tc>
      </w:tr>
      <w:tr>
        <w:trPr>
          <w:trHeight w:hRule="exact" w:val="80"/>
        </w:trPr>
        <w:tc>
          <w:tcPr>
            <w:tcW w:type="dxa" w:w="3364"/>
            <w:gridSpan w:val="5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The trade appeared to be growing</w:t>
            </w:r>
          </w:p>
        </w:tc>
        <w:tc>
          <w:tcPr>
            <w:tcW w:type="dxa" w:w="1293"/>
            <w:vMerge/>
            <w:tcBorders/>
          </w:tcPr>
          <w:p/>
        </w:tc>
        <w:tc>
          <w:tcPr>
            <w:tcW w:type="dxa" w:w="1293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465"/>
            <w:gridSpan w:val="5"/>
            <w:vMerge/>
            <w:tcBorders/>
          </w:tcPr>
          <w:p/>
        </w:tc>
        <w:tc>
          <w:tcPr>
            <w:tcW w:type="dxa" w:w="54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6" w:after="0"/>
              <w:ind w:left="130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and Southern Africa</w:t>
            </w:r>
          </w:p>
        </w:tc>
        <w:tc>
          <w:tcPr>
            <w:tcW w:type="dxa" w:w="1293"/>
            <w:vMerge/>
            <w:tcBorders/>
          </w:tcPr>
          <w:p/>
        </w:tc>
      </w:tr>
      <w:tr>
        <w:trPr>
          <w:trHeight w:hRule="exact" w:val="322"/>
        </w:trPr>
        <w:tc>
          <w:tcPr>
            <w:tcW w:type="dxa" w:w="336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during the 1990s (Barnett, 2000),</w:t>
            </w:r>
          </w:p>
        </w:tc>
        <w:tc>
          <w:tcPr>
            <w:tcW w:type="dxa" w:w="1293"/>
            <w:vMerge/>
            <w:tcBorders/>
          </w:tcPr>
          <w:p/>
        </w:tc>
        <w:tc>
          <w:tcPr>
            <w:tcW w:type="dxa" w:w="1293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there are no indications that this trend has reversed in recent years.  Ensuring that policy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structures take a more comprehensive and balanced approach to addressing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development issues associated with unsustainable and/or illegal trade in wild meat is therefore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critical, and would help deliver on MDG targets related to good governance (MDG 8).</w:t>
      </w:r>
    </w:p>
    <w:p>
      <w:pPr>
        <w:autoSpaceDN w:val="0"/>
        <w:autoSpaceDE w:val="0"/>
        <w:widowControl/>
        <w:spacing w:line="322" w:lineRule="exact" w:before="31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indicated above, wild species form an important source of food and income in East and Southern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Africa.  A study of wild meat consumption in seven East and Southern African countries (Barnett,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2000) documented the importance of wild meat in all 13 field sites surveyed.  In the Kitui District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Kenya, for example, approximately 80% of the households consumed an average of 14 kg of wild meat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per month, with this meat representing the majority of all meat protein consumed.  Wild meat use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widespread throughout the African continent and is of highest importance to those living in forests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savannah forests (see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1: Table 1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).</w:t>
      </w:r>
    </w:p>
    <w:p>
      <w:pPr>
        <w:autoSpaceDN w:val="0"/>
        <w:autoSpaceDE w:val="0"/>
        <w:widowControl/>
        <w:spacing w:line="240" w:lineRule="auto" w:before="540" w:after="0"/>
        <w:ind w:left="66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Case study 1:Table 1</w:t>
      </w:r>
    </w:p>
    <w:p>
      <w:pPr>
        <w:autoSpaceDN w:val="0"/>
        <w:autoSpaceDE w:val="0"/>
        <w:widowControl/>
        <w:spacing w:line="240" w:lineRule="auto" w:before="386" w:after="168"/>
        <w:ind w:left="66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Relative importance of wild meat in Africa (1994)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1508"/>
        <w:gridCol w:w="1508"/>
        <w:gridCol w:w="1508"/>
        <w:gridCol w:w="1508"/>
        <w:gridCol w:w="1508"/>
        <w:gridCol w:w="1508"/>
      </w:tblGrid>
      <w:tr>
        <w:trPr>
          <w:trHeight w:hRule="exact" w:val="476"/>
        </w:trPr>
        <w:tc>
          <w:tcPr>
            <w:tcW w:type="dxa" w:w="306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04" w:lineRule="exact" w:before="60" w:after="0"/>
              <w:ind w:left="52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2"/>
              </w:rPr>
              <w:t>Wild meat production</w:t>
            </w:r>
          </w:p>
        </w:tc>
        <w:tc>
          <w:tcPr>
            <w:tcW w:type="dxa" w:w="12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592" w:after="0"/>
              <w:ind w:left="18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Total</w:t>
            </w:r>
          </w:p>
        </w:tc>
        <w:tc>
          <w:tcPr>
            <w:tcW w:type="dxa" w:w="176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592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 xml:space="preserve">Average/person </w:t>
            </w:r>
          </w:p>
        </w:tc>
        <w:tc>
          <w:tcPr>
            <w:tcW w:type="dxa" w:w="282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04" w:lineRule="exact" w:before="60" w:after="0"/>
              <w:ind w:left="282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2"/>
              </w:rPr>
              <w:t>All meat production</w:t>
            </w:r>
          </w:p>
        </w:tc>
      </w:tr>
      <w:tr>
        <w:trPr>
          <w:trHeight w:hRule="exact" w:val="394"/>
        </w:trPr>
        <w:tc>
          <w:tcPr>
            <w:tcW w:type="dxa" w:w="1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116" w:after="0"/>
              <w:ind w:left="52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Ecological region</w:t>
            </w:r>
          </w:p>
        </w:tc>
        <w:tc>
          <w:tcPr>
            <w:tcW w:type="dxa" w:w="1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11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 xml:space="preserve">Population </w:t>
            </w:r>
          </w:p>
        </w:tc>
        <w:tc>
          <w:tcPr>
            <w:tcW w:type="dxa" w:w="1508"/>
            <w:vMerge/>
            <w:tcBorders/>
          </w:tcPr>
          <w:p/>
        </w:tc>
        <w:tc>
          <w:tcPr>
            <w:tcW w:type="dxa" w:w="1508"/>
            <w:vMerge/>
            <w:tcBorders/>
          </w:tcPr>
          <w:p/>
        </w:tc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116" w:after="0"/>
              <w:ind w:left="222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Total</w:t>
            </w:r>
          </w:p>
        </w:tc>
        <w:tc>
          <w:tcPr>
            <w:tcW w:type="dxa" w:w="1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11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 xml:space="preserve">Average/person </w:t>
            </w:r>
          </w:p>
        </w:tc>
      </w:tr>
      <w:tr>
        <w:trPr>
          <w:trHeight w:hRule="exact" w:val="406"/>
        </w:trPr>
        <w:tc>
          <w:tcPr>
            <w:tcW w:type="dxa" w:w="306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0" w:after="0"/>
              <w:ind w:left="0" w:right="302" w:firstLine="0"/>
              <w:jc w:val="righ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 xml:space="preserve">(millions) 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0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(million t)</w:t>
            </w:r>
          </w:p>
        </w:tc>
        <w:tc>
          <w:tcPr>
            <w:tcW w:type="dxa" w:w="1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0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(kg/person/year)</w:t>
            </w:r>
          </w:p>
        </w:tc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0" w:after="0"/>
              <w:ind w:left="222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(million t)</w:t>
            </w:r>
          </w:p>
        </w:tc>
        <w:tc>
          <w:tcPr>
            <w:tcW w:type="dxa" w:w="1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0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(kg/person/year)</w:t>
            </w:r>
          </w:p>
        </w:tc>
      </w:tr>
      <w:tr>
        <w:trPr>
          <w:trHeight w:hRule="exact" w:val="440"/>
        </w:trPr>
        <w:tc>
          <w:tcPr>
            <w:tcW w:type="dxa" w:w="1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162" w:after="0"/>
              <w:ind w:left="5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Savannah</w:t>
            </w:r>
          </w:p>
        </w:tc>
        <w:tc>
          <w:tcPr>
            <w:tcW w:type="dxa" w:w="1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162" w:after="0"/>
              <w:ind w:left="0" w:right="57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344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162" w:after="0"/>
              <w:ind w:left="0" w:right="23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405 421</w:t>
            </w:r>
          </w:p>
        </w:tc>
        <w:tc>
          <w:tcPr>
            <w:tcW w:type="dxa" w:w="1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162" w:after="0"/>
              <w:ind w:left="0" w:right="81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1.2</w:t>
            </w:r>
          </w:p>
        </w:tc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16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4 857 133</w:t>
            </w:r>
          </w:p>
        </w:tc>
        <w:tc>
          <w:tcPr>
            <w:tcW w:type="dxa" w:w="1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162" w:after="0"/>
              <w:ind w:left="0" w:right="70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15.2</w:t>
            </w:r>
          </w:p>
        </w:tc>
      </w:tr>
      <w:tr>
        <w:trPr>
          <w:trHeight w:hRule="exact" w:val="320"/>
        </w:trPr>
        <w:tc>
          <w:tcPr>
            <w:tcW w:type="dxa" w:w="1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5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Savannah forest</w:t>
            </w:r>
          </w:p>
        </w:tc>
        <w:tc>
          <w:tcPr>
            <w:tcW w:type="dxa" w:w="1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57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163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23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533 763</w:t>
            </w:r>
          </w:p>
        </w:tc>
        <w:tc>
          <w:tcPr>
            <w:tcW w:type="dxa" w:w="1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81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3.3</w:t>
            </w:r>
          </w:p>
        </w:tc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1 571 732</w:t>
            </w:r>
          </w:p>
        </w:tc>
        <w:tc>
          <w:tcPr>
            <w:tcW w:type="dxa" w:w="1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9.7</w:t>
            </w:r>
          </w:p>
        </w:tc>
      </w:tr>
      <w:tr>
        <w:trPr>
          <w:trHeight w:hRule="exact" w:val="320"/>
        </w:trPr>
        <w:tc>
          <w:tcPr>
            <w:tcW w:type="dxa" w:w="1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5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Forest</w:t>
            </w:r>
          </w:p>
        </w:tc>
        <w:tc>
          <w:tcPr>
            <w:tcW w:type="dxa" w:w="1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54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23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287 225</w:t>
            </w:r>
          </w:p>
        </w:tc>
        <w:tc>
          <w:tcPr>
            <w:tcW w:type="dxa" w:w="1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81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5.3</w:t>
            </w:r>
          </w:p>
        </w:tc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20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418 527</w:t>
            </w:r>
          </w:p>
        </w:tc>
        <w:tc>
          <w:tcPr>
            <w:tcW w:type="dxa" w:w="1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7.8</w:t>
            </w:r>
          </w:p>
        </w:tc>
      </w:tr>
      <w:tr>
        <w:trPr>
          <w:trHeight w:hRule="exact" w:val="320"/>
        </w:trPr>
        <w:tc>
          <w:tcPr>
            <w:tcW w:type="dxa" w:w="1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5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Islands</w:t>
            </w:r>
          </w:p>
        </w:tc>
        <w:tc>
          <w:tcPr>
            <w:tcW w:type="dxa" w:w="1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16</w:t>
            </w:r>
          </w:p>
        </w:tc>
        <w:tc>
          <w:tcPr>
            <w:tcW w:type="dxa" w:w="12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23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3846</w:t>
            </w:r>
          </w:p>
        </w:tc>
        <w:tc>
          <w:tcPr>
            <w:tcW w:type="dxa" w:w="1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81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0.2</w:t>
            </w:r>
          </w:p>
        </w:tc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20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378 029</w:t>
            </w:r>
          </w:p>
        </w:tc>
        <w:tc>
          <w:tcPr>
            <w:tcW w:type="dxa" w:w="1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70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22.7</w:t>
            </w:r>
          </w:p>
        </w:tc>
      </w:tr>
      <w:tr>
        <w:trPr>
          <w:trHeight w:hRule="exact" w:val="382"/>
        </w:trPr>
        <w:tc>
          <w:tcPr>
            <w:tcW w:type="dxa" w:w="1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52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Total</w:t>
            </w:r>
          </w:p>
        </w:tc>
        <w:tc>
          <w:tcPr>
            <w:tcW w:type="dxa" w:w="1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0" w:right="578" w:firstLine="0"/>
              <w:jc w:val="righ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577</w:t>
            </w:r>
          </w:p>
        </w:tc>
        <w:tc>
          <w:tcPr>
            <w:tcW w:type="dxa" w:w="1508"/>
            <w:vMerge/>
            <w:tcBorders/>
          </w:tcPr>
          <w:p/>
        </w:tc>
        <w:tc>
          <w:tcPr>
            <w:tcW w:type="dxa" w:w="1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0" w:right="814" w:firstLine="0"/>
              <w:jc w:val="righ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2.1</w:t>
            </w:r>
          </w:p>
        </w:tc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7 225 422</w:t>
            </w:r>
          </w:p>
        </w:tc>
        <w:tc>
          <w:tcPr>
            <w:tcW w:type="dxa" w:w="1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0" w:right="708" w:firstLine="0"/>
              <w:jc w:val="righ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12.5</w:t>
            </w:r>
          </w:p>
        </w:tc>
      </w:tr>
    </w:tbl>
    <w:p>
      <w:pPr>
        <w:autoSpaceDN w:val="0"/>
        <w:autoSpaceDE w:val="0"/>
        <w:widowControl/>
        <w:spacing w:line="294" w:lineRule="exact" w:before="150" w:after="0"/>
        <w:ind w:left="66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>Source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 xml:space="preserve">: Chardonnet </w:t>
      </w:r>
      <w:r>
        <w:rPr>
          <w:rFonts w:ascii="TimesNewRomanPS" w:hAnsi="TimesNewRomanPS" w:eastAsia="TimesNewRomanPS"/>
          <w:b w:val="0"/>
          <w:i/>
          <w:color w:val="000000"/>
          <w:sz w:val="20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 xml:space="preserve"> (2002)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62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37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Beyond its importance in the day-to-day economies of rural people, wild meat also acts as a safety net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during times of famine or other forms of disruption, to which the rural poor are particularly vulnerable.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Tanzania, refugees fleeing Rwanda relied on wild meat as a source of protein prior to the arrival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humanitarian agencies.  Wild meat subsequently supplemented diets when refugees’ food rations were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reduced to below recommended calorie intake levels.  A policy that discouraged self-reliance amongst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refugees in order to encourage voluntary repatriation also meant that many sought out the income-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generating possibilities offered by participation in the wild meat trade, either as hunters or middlemen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(Jambiya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2007).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Zimbabwe, the impacts of recent land reforms, political and economic instability have meant that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many people are resorting to wild foods, which were found in 2002 to provide the most common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substitutes for cereals when these were in short supply.  Hunting and fishing were specifically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mentioned as supplying foods in some areas, e.g. the Zambezi Valley (Zimbabwe National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Vulnerability Assessment Committee, 2002).  “Operation Nyama” allows police and defence forces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hunt wild species to alleviate hunger and park staff are allowed to kill a set number of animals per week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rations.  The illegal hunting of wild species for meat in response to food shortages also appears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have increased significantly in recent years, and is believed to be greatly reducing wildlife populations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Zimbabwe (Eagle, 2006).  Poaching for meat was expected to escalate further following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government closure of private abattoirs in 2007 (Anon., 2007a).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meat is increasing in importance as a traded commodity in Africa, this trade tending to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regionally focused, influenced by existing internal trade networks and markets.  An FAO study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estimated that the foreign trade in wild meat from selected West African countries amounted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USD150–160 million annually above and beyond income derived from wild animal trophy exports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(Molade, 1999).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wild meat trade has been studied in depth for some countries and regions of the world, but there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few data on the extent of the trade in global terms.  Although largely taking place within national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boundaries, international (or trans-regional) trade does occur</w:t>
      </w:r>
      <w:r>
        <w:rPr>
          <w:rFonts w:ascii="GillSansMT" w:hAnsi="GillSansMT" w:eastAsia="GillSansMT"/>
          <w:b w:val="0"/>
          <w:i w:val="0"/>
          <w:color w:val="000000"/>
          <w:sz w:val="22"/>
        </w:rPr>
        <w:t>—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particularly to and from countries with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large immigrant communities.  A recent survey indicated, for instance, that it was possible to get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smoked wild meat of African species in large urban centres with significant African communities such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New York, Montreal, London, Brussels and Paris (Marris, 2006).  In some countries, local scarcity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wild meat has also given rise to inter-regional trade (Barnett, 2000).  Despite the lack of research,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several points can be made with a good deal of certainty: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trade of wild meat is a global phenomenon;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trade is an important source of income for rural people;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dynamics of the trade vary tremendously by region, reflecting varying cultural characteristics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human migration patterns, the character of regional economies, and the different ecosystems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supplying wild meat.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90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38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3403600</wp:posOffset>
            </wp:positionV>
            <wp:extent cx="5753100" cy="3378200"/>
            <wp:wrapNone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3782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8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drivers behind the trade in wild meat are numerous and vary between different African regions. 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many places, wild meat is an essential good for both subsistence and income purposes.  Widespread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rural poverty combined with the lack of protein alternatives often makes meat from the wild the only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option.  Where meat from domesticated animals is available, it is typically more expensive than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meat.  Some reports indicate use is shifting from personal consumption to trade, as local extinctions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give rise to regional markets (Barnett, 2000).  Urbanization has also created distance between supply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consumers, creating markets for traded wild meat.  In some countries with rising incomes,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meat has become preferred to domestic meat for reasons of taste and status and trade has emerged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meet this demand.  Cultural preferences also influence demand, especially where there are reputed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health or medicinal values from the consumption of certain species, as with the demand for animal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parts for traditional medicines.</w:t>
      </w:r>
    </w:p>
    <w:p>
      <w:pPr>
        <w:autoSpaceDN w:val="0"/>
        <w:autoSpaceDE w:val="0"/>
        <w:widowControl/>
        <w:spacing w:line="240" w:lineRule="auto" w:before="53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1: Box 1</w:t>
      </w:r>
    </w:p>
    <w:p>
      <w:pPr>
        <w:autoSpaceDN w:val="0"/>
        <w:autoSpaceDE w:val="0"/>
        <w:widowControl/>
        <w:spacing w:line="242" w:lineRule="auto" w:before="34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Livelihood dimensions of the wild meat trade in East and Southern Africa</w:t>
      </w:r>
    </w:p>
    <w:p>
      <w:pPr>
        <w:autoSpaceDN w:val="0"/>
        <w:tabs>
          <w:tab w:pos="358" w:val="left"/>
        </w:tabs>
        <w:autoSpaceDE w:val="0"/>
        <w:widowControl/>
        <w:spacing w:line="240" w:lineRule="auto" w:before="348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A TRAFFIC report based on analysis of primary data collected from 13 different sites across seven</w:t>
      </w:r>
    </w:p>
    <w:p>
      <w:pPr>
        <w:autoSpaceDN w:val="0"/>
        <w:autoSpaceDE w:val="0"/>
        <w:widowControl/>
        <w:spacing w:line="240" w:lineRule="auto" w:before="56" w:after="0"/>
        <w:ind w:left="358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different countries in the region suggested a number of livelihood dimensions to the trade in the</w:t>
      </w:r>
    </w:p>
    <w:p>
      <w:pPr>
        <w:autoSpaceDN w:val="0"/>
        <w:autoSpaceDE w:val="0"/>
        <w:widowControl/>
        <w:spacing w:line="240" w:lineRule="auto" w:before="56" w:after="0"/>
        <w:ind w:left="358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region. Rising populations and localized declines in wildlife populations mean trade has emerged to</w:t>
      </w:r>
    </w:p>
    <w:p>
      <w:pPr>
        <w:autoSpaceDN w:val="0"/>
        <w:autoSpaceDE w:val="0"/>
        <w:widowControl/>
        <w:spacing w:line="240" w:lineRule="auto" w:before="56" w:after="0"/>
        <w:ind w:left="358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meet a need for meat that cannot be met from local sources of expensive, domestic meat.</w:t>
      </w:r>
    </w:p>
    <w:p>
      <w:pPr>
        <w:autoSpaceDN w:val="0"/>
        <w:tabs>
          <w:tab w:pos="358" w:val="left"/>
        </w:tabs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Economic values of quantities consumed equate to a considerable proportion of household average</w:t>
      </w:r>
    </w:p>
    <w:p>
      <w:pPr>
        <w:autoSpaceDN w:val="0"/>
        <w:autoSpaceDE w:val="0"/>
        <w:widowControl/>
        <w:spacing w:line="240" w:lineRule="auto" w:before="56" w:after="0"/>
        <w:ind w:left="358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monthly incomes, from between 15% and 40% depending on the area surveyed</w:t>
      </w:r>
    </w:p>
    <w:p>
      <w:pPr>
        <w:autoSpaceDN w:val="0"/>
        <w:tabs>
          <w:tab w:pos="358" w:val="left"/>
        </w:tabs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Income from wild meat sales is substantial and significant enough to those involved in the trade to</w:t>
      </w:r>
    </w:p>
    <w:p>
      <w:pPr>
        <w:autoSpaceDN w:val="0"/>
        <w:autoSpaceDE w:val="0"/>
        <w:widowControl/>
        <w:spacing w:line="240" w:lineRule="auto" w:before="56" w:after="0"/>
        <w:ind w:left="358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compete with alternative livelihoods strategies</w:t>
      </w:r>
    </w:p>
    <w:p>
      <w:pPr>
        <w:autoSpaceDN w:val="0"/>
        <w:tabs>
          <w:tab w:pos="358" w:val="left"/>
        </w:tabs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Hunters capture a significant portion of the final sale price </w:t>
      </w:r>
    </w:p>
    <w:p>
      <w:pPr>
        <w:autoSpaceDN w:val="0"/>
        <w:tabs>
          <w:tab w:pos="358" w:val="left"/>
        </w:tabs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Products from legal wild meat sources are often exported or are by-products of other activities, e.g.</w:t>
      </w:r>
    </w:p>
    <w:p>
      <w:pPr>
        <w:autoSpaceDN w:val="0"/>
        <w:autoSpaceDE w:val="0"/>
        <w:widowControl/>
        <w:spacing w:line="240" w:lineRule="auto" w:before="56" w:after="0"/>
        <w:ind w:left="358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trophy hunting or problem animal culls, i.e. not providing a consistent or reliable supply</w:t>
      </w:r>
    </w:p>
    <w:p>
      <w:pPr>
        <w:autoSpaceDN w:val="0"/>
        <w:autoSpaceDE w:val="0"/>
        <w:widowControl/>
        <w:spacing w:line="240" w:lineRule="auto" w:before="356" w:after="0"/>
        <w:ind w:left="70" w:right="0" w:firstLine="0"/>
        <w:jc w:val="left"/>
      </w:pPr>
      <w:r>
        <w:rPr>
          <w:rFonts w:ascii="GillSansMT" w:hAnsi="GillSansMT" w:eastAsia="GillSansMT"/>
          <w:b w:val="0"/>
          <w:i/>
          <w:color w:val="000000"/>
          <w:sz w:val="21"/>
        </w:rPr>
        <w:t>Source: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Barnett, 2000.</w:t>
      </w:r>
    </w:p>
    <w:p>
      <w:pPr>
        <w:autoSpaceDN w:val="0"/>
        <w:autoSpaceDE w:val="0"/>
        <w:widowControl/>
        <w:spacing w:line="320" w:lineRule="exact" w:before="78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areas with few livelihood alternatives, sales of wild meat can be an important way to generate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income.  Barnett (2000) estimated that the value of wild meat use in East and Southern Africa was up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to 34% of household income.  In Mozambique, an average hunter in Gile game reserve earns approxi-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mately USD29 over four months from sales of wild meat compared to an average annual income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crop sales of USD49 (Fusari and Carpaneto, 2006).  Similar findings have been noted from Central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Africa (de Merode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2004).  However, reliance on trade in wild meat as a source income is not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universal, a recent study showing, for example, that this trade accounted for only a minor part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household income in the Udzungwa Mountains of Tanzania (Nielsen, 2006).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22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39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8013700"/>
            <wp:wrapNone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13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5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1: Box 2</w:t>
      </w:r>
    </w:p>
    <w:p>
      <w:pPr>
        <w:autoSpaceDN w:val="0"/>
        <w:autoSpaceDE w:val="0"/>
        <w:widowControl/>
        <w:spacing w:line="242" w:lineRule="auto" w:before="350" w:after="0"/>
        <w:ind w:left="5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Characteristics of the wild meat trade in East and Southern Africa</w:t>
      </w:r>
    </w:p>
    <w:p>
      <w:pPr>
        <w:autoSpaceDN w:val="0"/>
        <w:autoSpaceDE w:val="0"/>
        <w:widowControl/>
        <w:spacing w:line="278" w:lineRule="auto" w:before="348" w:after="0"/>
        <w:ind w:left="50" w:right="22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Bowen-Jones, Brown and Robinson (2002) provide a succinct characterization of the wild meat trade in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West and Central Africa. Their typology is used here to simplify comparison with that region.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Barnett (2000) study reveals many similarities between the two regions but many differences as well.</w:t>
      </w:r>
    </w:p>
    <w:p>
      <w:pPr>
        <w:autoSpaceDN w:val="0"/>
        <w:tabs>
          <w:tab w:pos="338" w:val="left"/>
        </w:tabs>
        <w:autoSpaceDE w:val="0"/>
        <w:widowControl/>
        <w:spacing w:line="278" w:lineRule="auto" w:before="3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General: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Significant, but often invisible, contributor to local economies in East and Southern Africa; it may rival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the formal wildlife sector’s contribution to the national economy.</w:t>
      </w:r>
    </w:p>
    <w:p>
      <w:pPr>
        <w:autoSpaceDN w:val="0"/>
        <w:tabs>
          <w:tab w:pos="338" w:val="left"/>
        </w:tabs>
        <w:autoSpaceDE w:val="0"/>
        <w:widowControl/>
        <w:spacing w:line="278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distribution of its benefits tends to be more equitable for rural people living close to the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resource, who capture a greater percentage of the value of the resource than they receive from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alternative uses of wild species.</w:t>
      </w:r>
    </w:p>
    <w:p>
      <w:pPr>
        <w:autoSpaceDN w:val="0"/>
        <w:tabs>
          <w:tab w:pos="338" w:val="left"/>
        </w:tabs>
        <w:autoSpaceDE w:val="0"/>
        <w:widowControl/>
        <w:spacing w:line="240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Highly complex and displays significant geographic variation.</w:t>
      </w:r>
    </w:p>
    <w:p>
      <w:pPr>
        <w:autoSpaceDN w:val="0"/>
        <w:tabs>
          <w:tab w:pos="338" w:val="left"/>
        </w:tabs>
        <w:autoSpaceDE w:val="0"/>
        <w:widowControl/>
        <w:spacing w:line="240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Depending on the species, already unsustainable at various local levels and appears to be increasing.</w:t>
      </w:r>
    </w:p>
    <w:p>
      <w:pPr>
        <w:autoSpaceDN w:val="0"/>
        <w:tabs>
          <w:tab w:pos="338" w:val="left"/>
        </w:tabs>
        <w:autoSpaceDE w:val="0"/>
        <w:widowControl/>
        <w:spacing w:line="269" w:lineRule="auto" w:before="356" w:after="0"/>
        <w:ind w:left="50" w:right="4464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Livelihood and trade: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Use has recently become more commercialized.</w:t>
      </w:r>
    </w:p>
    <w:p>
      <w:pPr>
        <w:autoSpaceDN w:val="0"/>
        <w:tabs>
          <w:tab w:pos="338" w:val="left"/>
        </w:tabs>
        <w:autoSpaceDE w:val="0"/>
        <w:widowControl/>
        <w:spacing w:line="281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Wild meat has significant impacts on the livelihoods of the rural poor, providing both an affordable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source of animal protein and a livelihood opportunity for men as hunters and women as traders.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Wild meat is a favoured food item and is part of a complex commodity chain, linking rural hunters to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urban and rural consumers.</w:t>
      </w:r>
    </w:p>
    <w:p>
      <w:pPr>
        <w:autoSpaceDN w:val="0"/>
        <w:tabs>
          <w:tab w:pos="338" w:val="left"/>
        </w:tabs>
        <w:autoSpaceDE w:val="0"/>
        <w:widowControl/>
        <w:spacing w:line="269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Smoking or sun-drying wild meat is often the only method of maintaining a store of protein for rural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communities.</w:t>
      </w:r>
    </w:p>
    <w:p>
      <w:pPr>
        <w:autoSpaceDN w:val="0"/>
        <w:tabs>
          <w:tab w:pos="338" w:val="left"/>
        </w:tabs>
        <w:autoSpaceDE w:val="0"/>
        <w:widowControl/>
        <w:spacing w:line="269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Use of wild animals for meat is economically contested, as it is competes with the wildlife tourism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sector.</w:t>
      </w:r>
    </w:p>
    <w:p>
      <w:pPr>
        <w:autoSpaceDN w:val="0"/>
        <w:tabs>
          <w:tab w:pos="338" w:val="left"/>
        </w:tabs>
        <w:autoSpaceDE w:val="0"/>
        <w:widowControl/>
        <w:spacing w:line="278" w:lineRule="auto" w:before="3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Ecological: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• Savannah lands,the source of much of the region’s wild meat,have intrinsically high rates of production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of wild animals in comparison to other ecosystems.</w:t>
      </w:r>
    </w:p>
    <w:p>
      <w:pPr>
        <w:autoSpaceDN w:val="0"/>
        <w:tabs>
          <w:tab w:pos="338" w:val="left"/>
        </w:tabs>
        <w:autoSpaceDE w:val="0"/>
        <w:widowControl/>
        <w:spacing w:line="269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• Some species thrive in the farm-bush mosaic and may be able to sustain relatively high levels of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hunting, others may be pest species, and some species are genuinely threatened by over-hunting.</w:t>
      </w:r>
    </w:p>
    <w:p>
      <w:pPr>
        <w:autoSpaceDN w:val="0"/>
        <w:autoSpaceDE w:val="0"/>
        <w:widowControl/>
        <w:spacing w:line="240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 The current trade is having a negative impact on populations of species of conservation concern.</w:t>
      </w:r>
    </w:p>
    <w:p>
      <w:pPr>
        <w:autoSpaceDN w:val="0"/>
        <w:tabs>
          <w:tab w:pos="338" w:val="left"/>
        </w:tabs>
        <w:autoSpaceDE w:val="0"/>
        <w:widowControl/>
        <w:spacing w:line="278" w:lineRule="auto" w:before="3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Institutions, laws and policy: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• Legislation and policy have typically given few tenurial or riparian rights to savannah-dwelling and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dependent human populations.</w:t>
      </w:r>
    </w:p>
    <w:p>
      <w:pPr>
        <w:autoSpaceDN w:val="0"/>
        <w:autoSpaceDE w:val="0"/>
        <w:widowControl/>
        <w:spacing w:line="240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 Problem areas may be immigration zones for the national population.</w:t>
      </w:r>
    </w:p>
    <w:p>
      <w:pPr>
        <w:autoSpaceDN w:val="0"/>
        <w:tabs>
          <w:tab w:pos="338" w:val="left"/>
        </w:tabs>
        <w:autoSpaceDE w:val="0"/>
        <w:widowControl/>
        <w:spacing w:line="269" w:lineRule="auto" w:before="56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• Non-traditional protected area management schemes have recently been pioneered in the region with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mixed success.</w:t>
      </w:r>
    </w:p>
    <w:p>
      <w:pPr>
        <w:autoSpaceDN w:val="0"/>
        <w:tabs>
          <w:tab w:pos="4070" w:val="left"/>
        </w:tabs>
        <w:autoSpaceDE w:val="0"/>
        <w:widowControl/>
        <w:spacing w:line="242" w:lineRule="auto" w:before="2280" w:after="0"/>
        <w:ind w:left="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40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722" w:right="1318" w:bottom="290" w:left="1436" w:header="720" w:footer="720" w:gutter="0"/>
          <w:cols w:space="720" w:num="1" w:equalWidth="0"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are important social and gender divisions to the trade of wild meat.  There is frequently a gender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division of labour, with men as hunters and middlemen and women as traders/sellers.  Brown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Williams (2003) note that “in West and Central Africa, hunting is traditionally undertaken by young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men at an early stage of the family cycle, to accumulate capital which is later invested in setting up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enterprises with a longer time horizon, such as export crop production and petty trade.  It thus provides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stepping stone to greater prosperity for a social category that might otherwise be problematic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society”.  Anecdotal evidence indicates that such strategies are pursued in East and Southern Africa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well (S. Milledge, TRAFFIC, pers. comm., 2007).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Management of the wild meat trade 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hunting of wild animals for meat, and therefore by extension the trade in the meat of wild species,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has long been subject to traditional management systems, including prohibitions on the hunting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eating of totem and taboo animals, prohibitions on the taking of gravid females, and hunting during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specific seasons (Barnett, 2000).  Traditional management systems have been overlaid with, and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some places replaced by, a variety of regulatory measures stemming from outright hunting bans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community co-management.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general, across Africa the primary government management approach adopted has been to ban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harvest of wild species for direct consumption and trade of their meat (with certain exceptions such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those described below).  As a result, the majority of the wild meat trade in Africa is illegal and thus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criminalized, and no active management exists.  The largely unrecognized importance of wildlife as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source of food and in some cases income for poor people on the one hand, contrasted with its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recognized importance as a source of revenue in the formal economies of range States (e.g. through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tourism) has made wildlife a contested resource across the region, engendering competition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what is also becoming an increasingly scarce resource.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Recently, many national governments in the region have begun to recognize that wildlife populations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cannot be properly conserved without the commitment and support of communities living adjacent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them.  Many governments have, through changes to law and policy, stated their commitment to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principles of sustainable wildlife use and equitable benefit-sharing.  Many have implemented—or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planning to implement—participatory wildlife management models in certain geographic areas.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However, recognition of local access rights to wildlife use in these schemes tends to be narrowly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understood, with ownership of wildlife remaining vested in the State.  Complicating the matter further,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land tenure and land use law and policy typically provide few incentives—and may in fact provide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disincentives—to wildlife management as a land use (Norton-Griffiths, 2003).  There are also instances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policy incoherence, where management responsibilities for some resources are being devolved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local governments or communities more quickly than for others.  For instance, in Tanzania,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devolution of management for certain forests on village land (as defined in the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Land Act and Village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Land Act 1999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) does not cover the wildlife found within those same village forests.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90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41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3060700</wp:posOffset>
            </wp:positionV>
            <wp:extent cx="5753100" cy="6375400"/>
            <wp:wrapNone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3754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4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At present, national wildlife governance regimes typically prohibit wildlife harvesting within protected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areas and/or on state land that is not under a community management scheme.  Where harvesting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permitted, it is either allowed for subsistence use only or for a very limited, highly regulated local trade.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1: Table 2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provides a summary of the regulation-based management regimes in selected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countries in the region.</w:t>
      </w:r>
    </w:p>
    <w:p>
      <w:pPr>
        <w:autoSpaceDN w:val="0"/>
        <w:autoSpaceDE w:val="0"/>
        <w:widowControl/>
        <w:spacing w:line="240" w:lineRule="auto" w:before="374" w:after="0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 xml:space="preserve">Case study 1:Table 2 </w:t>
      </w:r>
    </w:p>
    <w:p>
      <w:pPr>
        <w:autoSpaceDN w:val="0"/>
        <w:autoSpaceDE w:val="0"/>
        <w:widowControl/>
        <w:spacing w:line="240" w:lineRule="auto" w:before="386" w:after="0"/>
        <w:ind w:left="0" w:right="0" w:firstLine="0"/>
        <w:jc w:val="center"/>
      </w:pPr>
      <w:r>
        <w:rPr>
          <w:rFonts w:ascii="GillSansMT" w:hAnsi="GillSansMT" w:eastAsia="GillSansMT"/>
          <w:b/>
          <w:i w:val="0"/>
          <w:color w:val="000000"/>
          <w:sz w:val="22"/>
        </w:rPr>
        <w:t>Regulatory measures to manage the wild meat trade in selected countries in East and</w:t>
      </w:r>
    </w:p>
    <w:p>
      <w:pPr>
        <w:autoSpaceDN w:val="0"/>
        <w:autoSpaceDE w:val="0"/>
        <w:widowControl/>
        <w:spacing w:line="240" w:lineRule="auto" w:before="66" w:after="0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Southern Africa</w:t>
      </w:r>
    </w:p>
    <w:p>
      <w:pPr>
        <w:autoSpaceDN w:val="0"/>
        <w:autoSpaceDE w:val="0"/>
        <w:widowControl/>
        <w:spacing w:line="314" w:lineRule="exact" w:before="296" w:after="0"/>
        <w:ind w:left="7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K</w:t>
      </w:r>
      <w:r>
        <w:rPr>
          <w:w w:val="103.125"/>
          <w:rFonts w:ascii="TimesNewRomanPS" w:hAnsi="TimesNewRomanPS" w:eastAsia="TimesNewRomanPS"/>
          <w:b/>
          <w:i w:val="0"/>
          <w:color w:val="000000"/>
          <w:sz w:val="16"/>
        </w:rPr>
        <w:t xml:space="preserve">ENYA </w:t>
      </w:r>
      <w:r>
        <w:br/>
      </w:r>
      <w:r>
        <w:rPr>
          <w:rFonts w:ascii="TimesNewRomanPS" w:hAnsi="TimesNewRomanPS" w:eastAsia="TimesNewRomanPS"/>
          <w:b/>
          <w:i/>
          <w:color w:val="000000"/>
          <w:sz w:val="22"/>
        </w:rPr>
        <w:t>Harvesting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All mammal hunting banned in 1977 although new draft wildlife policy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under consideration that would allow hunting again. </w:t>
      </w:r>
    </w:p>
    <w:p>
      <w:pPr>
        <w:autoSpaceDN w:val="0"/>
        <w:autoSpaceDE w:val="0"/>
        <w:widowControl/>
        <w:spacing w:line="316" w:lineRule="exact" w:before="18" w:after="0"/>
        <w:ind w:left="70" w:right="0" w:firstLine="0"/>
        <w:jc w:val="left"/>
      </w:pPr>
      <w:r>
        <w:rPr>
          <w:rFonts w:ascii="TimesNewRomanPS" w:hAnsi="TimesNewRomanPS" w:eastAsia="TimesNewRomanPS"/>
          <w:b/>
          <w:i/>
          <w:color w:val="000000"/>
          <w:sz w:val="22"/>
        </w:rPr>
        <w:t>Trade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Other than from farming/ranching sector, commercial trade prohibited. </w:t>
      </w:r>
      <w:r>
        <w:rPr>
          <w:rFonts w:ascii="TimesNewRomanPS" w:hAnsi="TimesNewRomanPS" w:eastAsia="TimesNewRomanPS"/>
          <w:b/>
          <w:i/>
          <w:color w:val="000000"/>
          <w:sz w:val="22"/>
        </w:rPr>
        <w:t>Comments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Policy emphasizes non-consumptive uses of wildlife, primarily tourism, especially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photographic safaris; Community Wildlife Programme introduced in mid-1990s; Kenya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Service policy of sharing 25% of national park revenues with local people but has not been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implemented and considered unlikely to be in near future.</w:t>
      </w:r>
    </w:p>
    <w:p>
      <w:pPr>
        <w:autoSpaceDN w:val="0"/>
        <w:autoSpaceDE w:val="0"/>
        <w:widowControl/>
        <w:spacing w:line="316" w:lineRule="exact" w:before="338" w:after="0"/>
        <w:ind w:left="7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T</w:t>
      </w:r>
      <w:r>
        <w:rPr>
          <w:w w:val="103.125"/>
          <w:rFonts w:ascii="TimesNewRomanPS" w:hAnsi="TimesNewRomanPS" w:eastAsia="TimesNewRomanPS"/>
          <w:b/>
          <w:i w:val="0"/>
          <w:color w:val="000000"/>
          <w:sz w:val="16"/>
        </w:rPr>
        <w:t xml:space="preserve">ANZANIA </w:t>
      </w:r>
      <w:r>
        <w:br/>
      </w:r>
      <w:r>
        <w:rPr>
          <w:rFonts w:ascii="TimesNewRomanPS" w:hAnsi="TimesNewRomanPS" w:eastAsia="TimesNewRomanPS"/>
          <w:b/>
          <w:i/>
          <w:color w:val="000000"/>
          <w:sz w:val="22"/>
        </w:rPr>
        <w:t>Harvesting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 Wildlife Conservation Act of 1974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and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Amendment No. 21 of 1978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specifies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hunting seasons, restricts the types and methods of hunting, and outlines licence requirements; two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types of licences: Resident and Safari; traditional hunting methods prohibited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. </w:t>
      </w:r>
    </w:p>
    <w:p>
      <w:pPr>
        <w:autoSpaceDN w:val="0"/>
        <w:autoSpaceDE w:val="0"/>
        <w:widowControl/>
        <w:spacing w:line="316" w:lineRule="exact" w:before="18" w:after="0"/>
        <w:ind w:left="70" w:right="90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Trade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Game meat from resident hunting intended for subsistence use; commercial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prohibited; limited distribution of meat from safari hunting; community-based game meat supply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cropping schemes exist around some Game Controlled Areas and National Parks but commercial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prohibited. </w:t>
      </w:r>
    </w:p>
    <w:p>
      <w:pPr>
        <w:autoSpaceDN w:val="0"/>
        <w:autoSpaceDE w:val="0"/>
        <w:widowControl/>
        <w:spacing w:line="314" w:lineRule="exact" w:before="20" w:after="0"/>
        <w:ind w:left="70" w:right="90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Comments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Establishment of Wildlife Management Areas where rural communities take responsi-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bility for the wildlife resource and obtain direct benefits through legal and sustainable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utilization schemes.  Wildlife policy and legislation currently under review. </w:t>
      </w:r>
    </w:p>
    <w:p>
      <w:pPr>
        <w:autoSpaceDN w:val="0"/>
        <w:autoSpaceDE w:val="0"/>
        <w:widowControl/>
        <w:spacing w:line="316" w:lineRule="exact" w:before="338" w:after="0"/>
        <w:ind w:left="7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M</w:t>
      </w:r>
      <w:r>
        <w:rPr>
          <w:w w:val="103.125"/>
          <w:rFonts w:ascii="TimesNewRomanPS" w:hAnsi="TimesNewRomanPS" w:eastAsia="TimesNewRomanPS"/>
          <w:b/>
          <w:i w:val="0"/>
          <w:color w:val="000000"/>
          <w:sz w:val="16"/>
        </w:rPr>
        <w:t xml:space="preserve">ALAWI </w:t>
      </w:r>
      <w:r>
        <w:br/>
      </w:r>
      <w:r>
        <w:rPr>
          <w:rFonts w:ascii="TimesNewRomanPS" w:hAnsi="TimesNewRomanPS" w:eastAsia="TimesNewRomanPS"/>
          <w:b/>
          <w:i/>
          <w:color w:val="000000"/>
          <w:sz w:val="22"/>
        </w:rPr>
        <w:t>Harvesting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Hunting in forest reserves prohibited without a permit; outside protected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areas, permits issued include Wild Bird Licence, National Game Licence, District Game Licence,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Hunting Licence, Special Licence (scientific) and Visitor’s Licence (safari). </w:t>
      </w:r>
    </w:p>
    <w:p>
      <w:pPr>
        <w:autoSpaceDN w:val="0"/>
        <w:autoSpaceDE w:val="0"/>
        <w:widowControl/>
        <w:spacing w:line="314" w:lineRule="exact" w:before="20" w:after="0"/>
        <w:ind w:left="70" w:right="90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Trade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: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National Parks and Wildlife Act, 1992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regulates harvest, possession, sale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in wildlife; meat harvested under licence may be consumed or traded at the discretion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licence holder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. </w:t>
      </w:r>
    </w:p>
    <w:p>
      <w:pPr>
        <w:autoSpaceDN w:val="0"/>
        <w:autoSpaceDE w:val="0"/>
        <w:widowControl/>
        <w:spacing w:line="314" w:lineRule="exact" w:before="20" w:after="0"/>
        <w:ind w:left="70" w:right="90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Comments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Small number of licences issued on annual basis.  This is likely to be owing to declines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availability of wildlife and distrust of bureaucracy; most wild meat is therefore hunted and traded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illegally.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316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42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92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7797800"/>
            <wp:wrapNone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7978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2" w:lineRule="exact" w:before="0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Z</w:t>
      </w:r>
      <w:r>
        <w:rPr>
          <w:w w:val="103.125"/>
          <w:rFonts w:ascii="TimesNewRomanPS" w:hAnsi="TimesNewRomanPS" w:eastAsia="TimesNewRomanPS"/>
          <w:b/>
          <w:i w:val="0"/>
          <w:color w:val="000000"/>
          <w:sz w:val="16"/>
        </w:rPr>
        <w:t xml:space="preserve">AMBIA </w:t>
      </w:r>
      <w:r>
        <w:br/>
      </w:r>
      <w:r>
        <w:rPr>
          <w:rFonts w:ascii="TimesNewRomanPS" w:hAnsi="TimesNewRomanPS" w:eastAsia="TimesNewRomanPS"/>
          <w:b/>
          <w:i/>
          <w:color w:val="000000"/>
          <w:sz w:val="22"/>
        </w:rPr>
        <w:t>Harvesting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Zambia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Wildlife Act No. 12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of 1998 allows limited hunting of animals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Game Management Areas through District, National, Safari and Special (for protected species) Game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Licences.</w:t>
      </w:r>
    </w:p>
    <w:p>
      <w:pPr>
        <w:autoSpaceDN w:val="0"/>
        <w:autoSpaceDE w:val="0"/>
        <w:widowControl/>
        <w:spacing w:line="316" w:lineRule="exact" w:before="18" w:after="0"/>
        <w:ind w:left="50" w:right="20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Trade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Sale of game meat derived under licence allowed (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Zambia Wildlife Act No. 12 of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1998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National Parks and Wildlife (Licences and Fees) Regulations of 1994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); provision made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regulation of trade in game meat through statutory instrument to control, limit or prohibit movement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of game meat, including export.</w:t>
      </w:r>
    </w:p>
    <w:p>
      <w:pPr>
        <w:autoSpaceDN w:val="0"/>
        <w:autoSpaceDE w:val="0"/>
        <w:widowControl/>
        <w:spacing w:line="318" w:lineRule="exact" w:before="16" w:after="0"/>
        <w:ind w:left="50" w:right="20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Comments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District licences intended for rural communities within Game Management Areas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(GMAs); National Licences for Zambians and resident non-Zambians to hunt in GMAs and open/free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areas; as wildlife has declined, some GMAs have been closed to National Licence holders (i.e. outside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hunters); declining number of animals allocated under District and National Licences because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declines and allocation to more lucrative safari hunting sector; while the sale of game meat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allowed, few hunters obtain permits; commercial licensed hunting for trade is a growing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phenomenon, owing to high urban demand.</w:t>
      </w:r>
    </w:p>
    <w:p>
      <w:pPr>
        <w:autoSpaceDN w:val="0"/>
        <w:autoSpaceDE w:val="0"/>
        <w:widowControl/>
        <w:spacing w:line="314" w:lineRule="exact" w:before="340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Z</w:t>
      </w:r>
      <w:r>
        <w:rPr>
          <w:w w:val="103.125"/>
          <w:rFonts w:ascii="TimesNewRomanPS" w:hAnsi="TimesNewRomanPS" w:eastAsia="TimesNewRomanPS"/>
          <w:b/>
          <w:i w:val="0"/>
          <w:color w:val="000000"/>
          <w:sz w:val="16"/>
        </w:rPr>
        <w:t xml:space="preserve">IMBABWE </w:t>
      </w:r>
      <w:r>
        <w:br/>
      </w:r>
      <w:r>
        <w:rPr>
          <w:rFonts w:ascii="TimesNewRomanPS" w:hAnsi="TimesNewRomanPS" w:eastAsia="TimesNewRomanPS"/>
          <w:b/>
          <w:i/>
          <w:color w:val="000000"/>
          <w:sz w:val="22"/>
        </w:rPr>
        <w:t>Harvesting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Subsistence hunting within communal areas allowed; safari hunting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allowed; harvesting on private game farms and ranches permitted.</w:t>
      </w:r>
    </w:p>
    <w:p>
      <w:pPr>
        <w:autoSpaceDN w:val="0"/>
        <w:autoSpaceDE w:val="0"/>
        <w:widowControl/>
        <w:spacing w:line="316" w:lineRule="exact" w:before="18" w:after="0"/>
        <w:ind w:left="50" w:right="22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Trade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 Parks and Wildlife Act 1975 (Amended 1990)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Parks and Wildlife (General)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Regulations, 1990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regulate the harvest, possession, sale and trade in wildlife products;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Forest Act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1949 (amended 1981)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regulates trade in forest produce and wild meat; trade within communal areas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is allowed but commercial trade with non-resident outsiders is prohibited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.</w:t>
      </w:r>
    </w:p>
    <w:p>
      <w:pPr>
        <w:autoSpaceDN w:val="0"/>
        <w:autoSpaceDE w:val="0"/>
        <w:widowControl/>
        <w:spacing w:line="316" w:lineRule="exact" w:before="18" w:after="0"/>
        <w:ind w:left="50" w:right="20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Comments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Game meat production is often a by-product of other more lucrative uses; owing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movement and marketing restrictions, most game meat is marketed locally (in 1996, 86% of game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meat produced on commercial farms was sold; remaining meat was consumed on farm); some farmed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meat is exported, e.g. exports (mostly to Europe) of Ostrich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Struthio camelus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meat represented 82%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of sales.</w:t>
      </w:r>
    </w:p>
    <w:p>
      <w:pPr>
        <w:autoSpaceDN w:val="0"/>
        <w:autoSpaceDE w:val="0"/>
        <w:widowControl/>
        <w:spacing w:line="314" w:lineRule="exact" w:before="340" w:after="0"/>
        <w:ind w:left="50" w:right="0" w:firstLine="0"/>
        <w:jc w:val="left"/>
      </w:pPr>
      <w:r>
        <w:rPr>
          <w:rFonts w:ascii="TimesNewRomanPS" w:hAnsi="TimesNewRomanPS" w:eastAsia="TimesNewRomanPS"/>
          <w:b/>
          <w:i w:val="0"/>
          <w:color w:val="000000"/>
          <w:sz w:val="22"/>
        </w:rPr>
        <w:t>M</w:t>
      </w:r>
      <w:r>
        <w:rPr>
          <w:w w:val="103.125"/>
          <w:rFonts w:ascii="TimesNewRomanPS" w:hAnsi="TimesNewRomanPS" w:eastAsia="TimesNewRomanPS"/>
          <w:b/>
          <w:i w:val="0"/>
          <w:color w:val="000000"/>
          <w:sz w:val="16"/>
        </w:rPr>
        <w:t xml:space="preserve">OZAMBIQUE </w:t>
      </w:r>
      <w:r>
        <w:br/>
      </w:r>
      <w:r>
        <w:rPr>
          <w:rFonts w:ascii="TimesNewRomanPS" w:hAnsi="TimesNewRomanPS" w:eastAsia="TimesNewRomanPS"/>
          <w:b/>
          <w:i/>
          <w:color w:val="000000"/>
          <w:sz w:val="22"/>
        </w:rPr>
        <w:t>Harvesting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Subsistence hunting for residents only; safari sport hunting by non-residents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is under licence.</w:t>
      </w:r>
    </w:p>
    <w:p>
      <w:pPr>
        <w:autoSpaceDN w:val="0"/>
        <w:autoSpaceDE w:val="0"/>
        <w:widowControl/>
        <w:spacing w:line="306" w:lineRule="exact" w:before="28" w:after="0"/>
        <w:ind w:left="50" w:right="0" w:firstLine="0"/>
        <w:jc w:val="left"/>
      </w:pPr>
      <w:r>
        <w:rPr>
          <w:rFonts w:ascii="TimesNewRomanPS" w:hAnsi="TimesNewRomanPS" w:eastAsia="TimesNewRomanPS"/>
          <w:b/>
          <w:i/>
          <w:color w:val="000000"/>
          <w:sz w:val="22"/>
        </w:rPr>
        <w:t>Trade regulations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Commercial trade of wildlife products is largely prohibited; commercial trade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 meat prohibited.</w:t>
      </w:r>
    </w:p>
    <w:p>
      <w:pPr>
        <w:autoSpaceDN w:val="0"/>
        <w:autoSpaceDE w:val="0"/>
        <w:widowControl/>
        <w:spacing w:line="316" w:lineRule="exact" w:before="18" w:after="0"/>
        <w:ind w:left="50" w:right="20" w:firstLine="0"/>
        <w:jc w:val="both"/>
      </w:pPr>
      <w:r>
        <w:rPr>
          <w:rFonts w:ascii="TimesNewRomanPS" w:hAnsi="TimesNewRomanPS" w:eastAsia="TimesNewRomanPS"/>
          <w:b/>
          <w:i/>
          <w:color w:val="000000"/>
          <w:sz w:val="22"/>
        </w:rPr>
        <w:t>Comments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Government company EMOFAUNA given right to trade in Cape Buffalo meat and hides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Marromeu Game Reserve; “Tchuma Tchato” community-based natural resource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project is laying groundwork for greater community participation and management of natural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resources.</w:t>
      </w:r>
    </w:p>
    <w:p>
      <w:pPr>
        <w:autoSpaceDN w:val="0"/>
        <w:autoSpaceDE w:val="0"/>
        <w:widowControl/>
        <w:spacing w:line="268" w:lineRule="exact" w:before="228" w:after="0"/>
        <w:ind w:left="4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>Source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: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 Original information from Barnett (2000), updated by the author.</w:t>
      </w:r>
    </w:p>
    <w:p>
      <w:pPr>
        <w:autoSpaceDN w:val="0"/>
        <w:tabs>
          <w:tab w:pos="8724" w:val="left"/>
        </w:tabs>
        <w:autoSpaceDE w:val="0"/>
        <w:widowControl/>
        <w:spacing w:line="242" w:lineRule="auto" w:before="1978" w:after="0"/>
        <w:ind w:left="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43</w:t>
      </w:r>
    </w:p>
    <w:p>
      <w:pPr>
        <w:sectPr>
          <w:pgSz w:w="11713" w:h="16791"/>
          <w:pgMar w:top="712" w:right="1318" w:bottom="290" w:left="1436" w:header="720" w:footer="720" w:gutter="0"/>
          <w:cols w:space="720" w:num="1" w:equalWidth="0"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3035300</wp:posOffset>
            </wp:positionV>
            <wp:extent cx="5753100" cy="1981200"/>
            <wp:wrapNone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9812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4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With the exception of Zimbabwe, South Africa, Namibia and, to a lesser extent Kenya, where game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ranching industries exist, the legal meat supply tends to be a by-product of trophy hunting,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culls/cropping and problem animal control.  Estimates of legal wild meat production during the late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1990s are provided in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1: Table 3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Even in the late 1990s, these legal sources represented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minority contribution to meeting wild meat demand in the region (Barnett, 2000). </w:t>
      </w:r>
    </w:p>
    <w:p>
      <w:pPr>
        <w:autoSpaceDN w:val="0"/>
        <w:autoSpaceDE w:val="0"/>
        <w:widowControl/>
        <w:spacing w:line="240" w:lineRule="auto" w:before="526" w:after="0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>Case study 1:Table 3</w:t>
      </w:r>
    </w:p>
    <w:p>
      <w:pPr>
        <w:autoSpaceDN w:val="0"/>
        <w:autoSpaceDE w:val="0"/>
        <w:widowControl/>
        <w:spacing w:line="240" w:lineRule="auto" w:before="384" w:after="406"/>
        <w:ind w:left="6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2"/>
        </w:rPr>
        <w:t xml:space="preserve">Regional overview of estimated annual legal game meat production (1998) 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1810"/>
        <w:gridCol w:w="1810"/>
        <w:gridCol w:w="1810"/>
        <w:gridCol w:w="1810"/>
        <w:gridCol w:w="1810"/>
      </w:tblGrid>
      <w:tr>
        <w:trPr>
          <w:trHeight w:hRule="exact" w:val="524"/>
        </w:trPr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88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Country</w:t>
            </w:r>
          </w:p>
        </w:tc>
        <w:tc>
          <w:tcPr>
            <w:tcW w:type="dxa" w:w="20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88" w:after="0"/>
              <w:ind w:left="34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Production (million t)</w:t>
            </w:r>
          </w:p>
        </w:tc>
        <w:tc>
          <w:tcPr>
            <w:tcW w:type="dxa" w:w="13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88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Value (USD)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1136" w:val="left"/>
              </w:tabs>
              <w:autoSpaceDE w:val="0"/>
              <w:widowControl/>
              <w:spacing w:line="168" w:lineRule="exact" w:before="30" w:after="0"/>
              <w:ind w:left="202" w:right="144" w:firstLine="0"/>
              <w:jc w:val="left"/>
            </w:pPr>
            <w:r>
              <w:tab/>
            </w: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0"/>
              </w:rPr>
              <w:t xml:space="preserve">7 </w:t>
            </w: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Population</w:t>
            </w:r>
          </w:p>
        </w:tc>
        <w:tc>
          <w:tcPr>
            <w:tcW w:type="dxa" w:w="28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2676" w:val="left"/>
              </w:tabs>
              <w:autoSpaceDE w:val="0"/>
              <w:widowControl/>
              <w:spacing w:line="168" w:lineRule="exact" w:before="30" w:after="0"/>
              <w:ind w:left="214" w:right="0" w:firstLine="0"/>
              <w:jc w:val="left"/>
            </w:pPr>
            <w:r>
              <w:tab/>
            </w:r>
            <w:r>
              <w:rPr>
                <w:rFonts w:ascii="TimesNewRomanPS" w:hAnsi="TimesNewRomanPS" w:eastAsia="TimesNewRomanPS"/>
                <w:b/>
                <w:i w:val="0"/>
                <w:color w:val="000000"/>
                <w:sz w:val="10"/>
              </w:rPr>
              <w:t xml:space="preserve">8 </w:t>
            </w: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Approximate kg/person/year</w:t>
            </w:r>
          </w:p>
        </w:tc>
      </w:tr>
      <w:tr>
        <w:trPr>
          <w:trHeight w:hRule="exact" w:val="480"/>
        </w:trPr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568" w:val="left"/>
              </w:tabs>
              <w:autoSpaceDE w:val="0"/>
              <w:widowControl/>
              <w:spacing w:line="164" w:lineRule="exact" w:before="142" w:after="0"/>
              <w:ind w:left="46" w:right="432" w:firstLine="0"/>
              <w:jc w:val="left"/>
            </w:pPr>
            <w:r>
              <w:tab/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0"/>
              </w:rPr>
              <w:t xml:space="preserve">1 </w:t>
            </w:r>
            <w:r>
              <w:br/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Kenya</w:t>
            </w:r>
          </w:p>
        </w:tc>
        <w:tc>
          <w:tcPr>
            <w:tcW w:type="dxa" w:w="20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202" w:after="0"/>
              <w:ind w:left="0" w:right="32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686</w:t>
            </w:r>
          </w:p>
        </w:tc>
        <w:tc>
          <w:tcPr>
            <w:tcW w:type="dxa" w:w="13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202" w:after="0"/>
              <w:ind w:left="0" w:right="28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570 396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20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 xml:space="preserve">28 606 607 </w:t>
            </w:r>
          </w:p>
        </w:tc>
        <w:tc>
          <w:tcPr>
            <w:tcW w:type="dxa" w:w="28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202" w:after="0"/>
              <w:ind w:left="0" w:right="115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0.024</w:t>
            </w:r>
          </w:p>
        </w:tc>
      </w:tr>
      <w:tr>
        <w:trPr>
          <w:trHeight w:hRule="exact" w:val="320"/>
        </w:trPr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766" w:val="left"/>
              </w:tabs>
              <w:autoSpaceDE w:val="0"/>
              <w:widowControl/>
              <w:spacing w:line="156" w:lineRule="exact" w:before="0" w:after="0"/>
              <w:ind w:left="46" w:right="288" w:firstLine="0"/>
              <w:jc w:val="left"/>
            </w:pPr>
            <w:r>
              <w:tab/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0"/>
              </w:rPr>
              <w:t xml:space="preserve">2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Tanzania</w:t>
            </w:r>
          </w:p>
        </w:tc>
        <w:tc>
          <w:tcPr>
            <w:tcW w:type="dxa" w:w="20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32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1282</w:t>
            </w:r>
          </w:p>
        </w:tc>
        <w:tc>
          <w:tcPr>
            <w:tcW w:type="dxa" w:w="13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1 141 218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 xml:space="preserve">34 443 603 </w:t>
            </w:r>
          </w:p>
        </w:tc>
        <w:tc>
          <w:tcPr>
            <w:tcW w:type="dxa" w:w="28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110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 xml:space="preserve">0.037 </w:t>
            </w:r>
          </w:p>
        </w:tc>
      </w:tr>
      <w:tr>
        <w:trPr>
          <w:trHeight w:hRule="exact" w:val="320"/>
        </w:trPr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658" w:val="left"/>
              </w:tabs>
              <w:autoSpaceDE w:val="0"/>
              <w:widowControl/>
              <w:spacing w:line="156" w:lineRule="exact" w:before="0" w:after="0"/>
              <w:ind w:left="46" w:right="432" w:firstLine="0"/>
              <w:jc w:val="left"/>
            </w:pPr>
            <w:r>
              <w:tab/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0"/>
              </w:rPr>
              <w:t xml:space="preserve">3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Malawi</w:t>
            </w:r>
          </w:p>
        </w:tc>
        <w:tc>
          <w:tcPr>
            <w:tcW w:type="dxa" w:w="20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32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154</w:t>
            </w:r>
          </w:p>
        </w:tc>
        <w:tc>
          <w:tcPr>
            <w:tcW w:type="dxa" w:w="13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28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124 352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9 933 868</w:t>
            </w:r>
          </w:p>
        </w:tc>
        <w:tc>
          <w:tcPr>
            <w:tcW w:type="dxa" w:w="28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110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 xml:space="preserve">0.015 </w:t>
            </w:r>
          </w:p>
        </w:tc>
      </w:tr>
      <w:tr>
        <w:trPr>
          <w:trHeight w:hRule="exact" w:val="320"/>
        </w:trPr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658" w:val="left"/>
              </w:tabs>
              <w:autoSpaceDE w:val="0"/>
              <w:widowControl/>
              <w:spacing w:line="156" w:lineRule="exact" w:before="0" w:after="0"/>
              <w:ind w:left="46" w:right="432" w:firstLine="0"/>
              <w:jc w:val="left"/>
            </w:pPr>
            <w:r>
              <w:tab/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0"/>
              </w:rPr>
              <w:t xml:space="preserve">4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Zambia</w:t>
            </w:r>
          </w:p>
        </w:tc>
        <w:tc>
          <w:tcPr>
            <w:tcW w:type="dxa" w:w="20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32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975</w:t>
            </w:r>
          </w:p>
        </w:tc>
        <w:tc>
          <w:tcPr>
            <w:tcW w:type="dxa" w:w="13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28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288 000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33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 xml:space="preserve">9 885 591 </w:t>
            </w:r>
          </w:p>
        </w:tc>
        <w:tc>
          <w:tcPr>
            <w:tcW w:type="dxa" w:w="28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110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 xml:space="preserve">0.986 </w:t>
            </w:r>
          </w:p>
        </w:tc>
      </w:tr>
      <w:tr>
        <w:trPr>
          <w:trHeight w:hRule="exact" w:val="320"/>
        </w:trPr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902" w:val="left"/>
              </w:tabs>
              <w:autoSpaceDE w:val="0"/>
              <w:widowControl/>
              <w:spacing w:line="156" w:lineRule="exact" w:before="0" w:after="0"/>
              <w:ind w:left="46" w:right="144" w:firstLine="0"/>
              <w:jc w:val="left"/>
            </w:pPr>
            <w:r>
              <w:tab/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0"/>
              </w:rPr>
              <w:t xml:space="preserve">5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Zimbabwe</w:t>
            </w:r>
          </w:p>
        </w:tc>
        <w:tc>
          <w:tcPr>
            <w:tcW w:type="dxa" w:w="20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32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2925</w:t>
            </w:r>
          </w:p>
        </w:tc>
        <w:tc>
          <w:tcPr>
            <w:tcW w:type="dxa" w:w="13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1 889 008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13 076 000</w:t>
            </w:r>
          </w:p>
        </w:tc>
        <w:tc>
          <w:tcPr>
            <w:tcW w:type="dxa" w:w="28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110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 xml:space="preserve">0.224 </w:t>
            </w:r>
          </w:p>
        </w:tc>
      </w:tr>
      <w:tr>
        <w:trPr>
          <w:trHeight w:hRule="exact" w:val="320"/>
        </w:trPr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1102" w:val="left"/>
              </w:tabs>
              <w:autoSpaceDE w:val="0"/>
              <w:widowControl/>
              <w:spacing w:line="156" w:lineRule="exact" w:before="0" w:after="0"/>
              <w:ind w:left="46" w:right="0" w:firstLine="0"/>
              <w:jc w:val="left"/>
            </w:pPr>
            <w:r>
              <w:tab/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0"/>
              </w:rPr>
              <w:t xml:space="preserve">6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Mozambique</w:t>
            </w:r>
          </w:p>
        </w:tc>
        <w:tc>
          <w:tcPr>
            <w:tcW w:type="dxa" w:w="20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32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300</w:t>
            </w:r>
          </w:p>
        </w:tc>
        <w:tc>
          <w:tcPr>
            <w:tcW w:type="dxa" w:w="13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1 949 200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>19 888 700</w:t>
            </w:r>
          </w:p>
        </w:tc>
        <w:tc>
          <w:tcPr>
            <w:tcW w:type="dxa" w:w="286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42" w:after="0"/>
              <w:ind w:left="0" w:right="110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0"/>
              </w:rPr>
              <w:t xml:space="preserve">0.002 </w:t>
            </w:r>
          </w:p>
        </w:tc>
      </w:tr>
      <w:tr>
        <w:trPr>
          <w:trHeight w:hRule="exact" w:val="382"/>
        </w:trPr>
        <w:tc>
          <w:tcPr>
            <w:tcW w:type="dxa" w:w="1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Total</w:t>
            </w:r>
          </w:p>
        </w:tc>
        <w:tc>
          <w:tcPr>
            <w:tcW w:type="dxa" w:w="20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0" w:right="328" w:firstLine="0"/>
              <w:jc w:val="righ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6322</w:t>
            </w:r>
          </w:p>
        </w:tc>
        <w:tc>
          <w:tcPr>
            <w:tcW w:type="dxa" w:w="13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5 962 174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8" w:lineRule="exact" w:before="44" w:after="0"/>
              <w:ind w:left="142" w:right="0" w:firstLine="0"/>
              <w:jc w:val="left"/>
            </w:pP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0"/>
              </w:rPr>
              <w:t>115 834 369</w:t>
            </w:r>
          </w:p>
        </w:tc>
        <w:tc>
          <w:tcPr>
            <w:tcW w:type="dxa" w:w="181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60" w:lineRule="exact" w:before="258" w:after="0"/>
        <w:ind w:left="60" w:right="82" w:firstLine="0"/>
        <w:jc w:val="both"/>
      </w:pPr>
      <w:r>
        <w:rPr>
          <w:rFonts w:ascii="TimesNewRomanPS" w:hAnsi="TimesNewRomanPS" w:eastAsia="TimesNewRomanPS"/>
          <w:b/>
          <w:i w:val="0"/>
          <w:color w:val="000000"/>
          <w:sz w:val="18"/>
        </w:rPr>
        <w:t>Notes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</w:t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1: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 Large game ranching sector (94% of legal supply); </w:t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2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No ranching sector; </w:t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3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Little large megafauna compared with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other countries in region; </w:t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4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Large contribution from game cropping; </w:t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5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Largest game ranching industry in region; </w:t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6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Still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recovering from civil war at time of survey; </w:t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7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Census dates: 1997 (Mozambique), 1998 (Malawi), 1999 (Kenya), 2000 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(Zambia) and 2002 (Tanzania, Zimbabwe); </w:t>
      </w:r>
      <w:r>
        <w:rPr>
          <w:rFonts w:ascii="TimesNewRomanPS" w:hAnsi="TimesNewRomanPS" w:eastAsia="TimesNewRomanPS"/>
          <w:b/>
          <w:i w:val="0"/>
          <w:color w:val="000000"/>
          <w:sz w:val="18"/>
        </w:rPr>
        <w:t>8</w:t>
      </w:r>
      <w:r>
        <w:rPr>
          <w:rFonts w:ascii="TimesNewRomanPSMT" w:hAnsi="TimesNewRomanPSMT" w:eastAsia="TimesNewRomanPSMT"/>
          <w:b w:val="0"/>
          <w:i w:val="0"/>
          <w:color w:val="000000"/>
          <w:sz w:val="18"/>
        </w:rPr>
        <w:t xml:space="preserve">: Does not account for distributional differences within country. </w:t>
      </w:r>
    </w:p>
    <w:p>
      <w:pPr>
        <w:autoSpaceDN w:val="0"/>
        <w:autoSpaceDE w:val="0"/>
        <w:widowControl/>
        <w:spacing w:line="268" w:lineRule="exact" w:before="0" w:after="0"/>
        <w:ind w:left="6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0"/>
        </w:rPr>
        <w:t>Source</w:t>
      </w:r>
      <w:r>
        <w:rPr>
          <w:rFonts w:ascii="TimesNewRomanPSMT" w:hAnsi="TimesNewRomanPSMT" w:eastAsia="TimesNewRomanPSMT"/>
          <w:b w:val="0"/>
          <w:i w:val="0"/>
          <w:color w:val="000000"/>
          <w:sz w:val="20"/>
        </w:rPr>
        <w:t>: Barnett (2000); author’s own calculations.</w:t>
      </w:r>
    </w:p>
    <w:p>
      <w:pPr>
        <w:autoSpaceDN w:val="0"/>
        <w:autoSpaceDE w:val="0"/>
        <w:widowControl/>
        <w:spacing w:line="320" w:lineRule="exact" w:before="352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Zimbabwe, in communal areas with some presence of wildlife, large-scale cropping for the purposes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meat production and distribution at low prices takes place through the CAMPFIRE (Communal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Areas Management Program for Indigenous Resource Areas) programme, but only for people resident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these areas.  In many cases, wild meat is sold for less than the market price.  In the late 1990s, prices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meat sold in CAMPFIRE areas from culls or problem animal control were USD0.17–0.42/kg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compared to USD0.92/kg for ranched/farmed meat, USD1.26/kg for illegally hunted meat and USD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1.67–2.92/kg for domestic beef (at approximate USD equivalent for 1997; rate used was USD1 =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ZWD12) (Barnett, 2000).  The purchase of wild meat by “non-resident outsiders” for resale in urban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centres was considered a problem by CAMPFIRE administrators (Barnett, 2000).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Following the government decision to nationalize farm land in Zimbabwe, the number of farms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involved in the wildlife industry and registered with the Department of National Parks as game ranches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 conservancies is reported to have fallen from 84 to 14 (Eagle, 2006).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22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44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While appearing to hold great promise, game farming/ranching is in many countries constrained by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lack of devolved wildlife resource use rights, insecure land tenure, insufficient capital and inappro-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priate skills (Barnett, 2000).  Further, increased production of meat from some taxa that hold potential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intensive management is constrained by religious or cultural views that prohibit consumption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meat.  For example, the region contains a significant Muslim population for whom the meat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Common Warthogs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Phacochoerus africanus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other wild pigs, for which production could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increased, is anathema.  Illegally sourced wild meat therefore remains the primary source of supply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provides the greatest income for a wider spectrum of people, especially in rural areas lacking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alternative livelihood options.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Perhaps because of competition from illegally sourced meat, the game meat industry in southern Africa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increasingly turning its attentions towards supplying foreign markets outside the region (Hoffman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Wiklund, 2006)—thus exacerbating the problem of a limited domestic supply of legal meat. 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Impacts of trade management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the trade in wild species for meat is heavily managed on paper, as is shown above,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on the ground in most countries in East and Southern Africa is limited, and sometimes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restricted to anti-poaching measures within protected areas.  Notable exceptions include South Africa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Namibia, both of which continue to maintain healthy wildlife populations in national parks, private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game ranches and, in Namibia, in community management areas.  In the case of South Africa, where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legal harvest of wild species for meat is limited to privately managed game reserves, access to meat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and/or associated income earning opportunities is similarly limited.  However, opportunities for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other wildlife based industries, e.g. tourism, are maintained owing to the continued presence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healthy wildlife populations.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Where enforcement of prohibitions on the hunting and trade of wild meat is taking place, it tends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affect the rural poor disproportionately.  Criminalization thus increases the vulnerability of the rural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poor for whom wild meat occupies an important place in livelihood security strategies.  Available data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indicated that the majority of illegally sourced meat in the region ends up commercially traded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(Barnett, 2000; Carpaneto and Fusari, 2006; Brown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2006), i.e. is not used for subsistence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purposes.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By criminalizing the commercial trade, restrictive national governance regimes have resulted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majority of the trade being clandestine, difficult to police and effectively unmanaged.  Arguably,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therefore, the lack of a well-regulated, sustainable trade entails opportunity costs—or foregone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benefits—for the rural poor.  Because they lack incentives for the rural poor to engage in sustainable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of wildlife resources, these regimes have also led to wildlife depletion and conversion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land to other uses with greater incentives and livelihood opportunities, such as agriculture. 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22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45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lack of effective management, coupled with the apparent increases in demand, have already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increased prices for the meat of larger species and increased reliance on smaller species, both of which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likely to indicate declines in the availability of larger species (Barnett, 2000).  These declines have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implications for the long-term ecological sustainability of hunting and trade, both at the species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ecosystem level, and hunting has been shown to affect local ecologies (Setsaas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2007).  In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cases, the wider ecological importance of particular species may not be well known, making those 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greater risk from local extinction of particular concern.  Research from forested regions of South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America, for example, indicates that hunting can have adverse affects on seed dispersal, and by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extension, local flora biodiversity (Stoner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2007). </w:t>
      </w:r>
    </w:p>
    <w:p>
      <w:pPr>
        <w:autoSpaceDN w:val="0"/>
        <w:autoSpaceDE w:val="0"/>
        <w:widowControl/>
        <w:spacing w:line="254" w:lineRule="auto" w:before="35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Conclusions and recommendations—enhancing the contri-</w:t>
      </w:r>
      <w:r>
        <w:rPr>
          <w:rFonts w:ascii="GillSansMT" w:hAnsi="GillSansMT" w:eastAsia="GillSansMT"/>
          <w:b/>
          <w:i w:val="0"/>
          <w:color w:val="000000"/>
          <w:sz w:val="28"/>
        </w:rPr>
        <w:t xml:space="preserve">bution of the wild meat trade to the MDGs 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meat clearly pays an important role in meeting the food needs of many people in East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Southern Africa, particularly in times of instability, when food supplies from domesticated sources may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 unavailable or unaffordable.  However, unsustainable (and frequently illegal) hunting to supply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meat has resulted in significant declines in wildlife populations in the region, and shows no signs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abating.  At present, therefore, the situation is perhaps more one of ensuring that the wild meat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does not undermine other efforts to achieve the MDGs, particularly MDG 7, rather than one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considering how this trade can contribute to their achievement.  Despite this somewhat pessimistic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outlook, however, examples of successful management regimes for wild meat production and trade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region demonstrate that, if managed effectively, the trade can help deliver on both development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conservation priorities.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fundamental requirement for moving towards sustainability and achievement of development goals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for debates about management approaches to move beyond the typical differentiation between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subsistence and commercial use of wildlife.  Such distinctions do not accurately capture the character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the social institutions that are involved in the wild meat trade (Hurst, 2007).  Rather, institutional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norms mean that individuals often define the legitimacy of resource claims according to a different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notion of proximity than do governments or external conservation actors.  Legitimacy can depend more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 kinship or political ties to an area than on one’s physical presence there.  At the same time, local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hunters do not define entitlement according to where a resource is consumed, and patrolling the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“borders” of areas within which “subsistence” hunting is allowed will be difficult.  Many existing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norms of entitlement to the resource and notions of legitimacy that follow from them do not take into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account whether wild meat has been “commercialized” (i.e. it has been transported out of the local area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exchanged for cash) or not.  Legitimizing access to a resource solely on the basis of customary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rights can be problematic also.  Customary or traditional claims to resources are often contested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local definitions of who is and is not “local” can change depending on the context in which the term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used.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214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46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4572000</wp:posOffset>
            </wp:positionH>
            <wp:positionV relativeFrom="page">
              <wp:posOffset>901700</wp:posOffset>
            </wp:positionV>
            <wp:extent cx="2070100" cy="2921000"/>
            <wp:wrapNone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921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8" w:lineRule="exact" w:before="0" w:after="0"/>
        <w:ind w:left="0" w:right="15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Also fundamental to improving the management of the meat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trade—and enhancing its contribution to the MDGs—is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improving knowledge of its dynamics.  This includes increased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understanding of current hunting and trade volumes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patterns (both legal and illegal), existing institutional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frameworks governing hunting and trade, the response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populations and habitats to current offtake levels,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response of human populations to changes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availability and price of both wild and domesticated sources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meat.  Although arguably a global phenomenon, collection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information will be required at a far narrower scale, taking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into account the trade’s geographic specificity (Bowen-Jones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al,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2002). 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2" w:equalWidth="0"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69" w:lineRule="auto" w:before="0" w:after="32"/>
        <w:ind w:left="144" w:right="0" w:firstLine="0"/>
        <w:jc w:val="center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Many smaller species may be </w:t>
      </w:r>
      <w:r>
        <w:rPr>
          <w:rFonts w:ascii="GillSansMT" w:hAnsi="GillSansMT" w:eastAsia="GillSansMT"/>
          <w:b/>
          <w:i/>
          <w:color w:val="222222"/>
          <w:sz w:val="22"/>
        </w:rPr>
        <w:t>able to withstand sustained off-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62.000000000000455" w:type="dxa"/>
      </w:tblPr>
      <w:tblGrid>
        <w:gridCol w:w="2262"/>
        <w:gridCol w:w="2262"/>
        <w:gridCol w:w="2262"/>
        <w:gridCol w:w="2262"/>
      </w:tblGrid>
      <w:tr>
        <w:trPr>
          <w:trHeight w:hRule="exact" w:val="320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take </w:t>
            </w:r>
          </w:p>
        </w:tc>
        <w:tc>
          <w:tcPr>
            <w:tcW w:type="dxa" w:w="12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because </w:t>
            </w:r>
          </w:p>
        </w:tc>
        <w:tc>
          <w:tcPr>
            <w:tcW w:type="dxa" w:w="5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of </w:t>
            </w:r>
          </w:p>
        </w:tc>
        <w:tc>
          <w:tcPr>
            <w:tcW w:type="dxa" w:w="6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0" w:right="38" w:firstLine="0"/>
              <w:jc w:val="righ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their</w:t>
            </w:r>
          </w:p>
        </w:tc>
      </w:tr>
    </w:tbl>
    <w:p>
      <w:pPr>
        <w:autoSpaceDN w:val="0"/>
        <w:autoSpaceDE w:val="0"/>
        <w:widowControl/>
        <w:spacing w:line="240" w:lineRule="auto" w:before="34" w:after="32"/>
        <w:ind w:left="0" w:right="0" w:firstLine="0"/>
        <w:jc w:val="center"/>
      </w:pPr>
      <w:r>
        <w:rPr>
          <w:rFonts w:ascii="GillSansMT" w:hAnsi="GillSansMT" w:eastAsia="GillSansMT"/>
          <w:b/>
          <w:i/>
          <w:color w:val="222222"/>
          <w:sz w:val="22"/>
        </w:rPr>
        <w:t>adaptability to newly modified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62.000000000000455" w:type="dxa"/>
      </w:tblPr>
      <w:tblGrid>
        <w:gridCol w:w="3016"/>
        <w:gridCol w:w="3016"/>
        <w:gridCol w:w="3016"/>
      </w:tblGrid>
      <w:tr>
        <w:trPr>
          <w:trHeight w:hRule="exact" w:val="320"/>
        </w:trPr>
        <w:tc>
          <w:tcPr>
            <w:tcW w:type="dxa" w:w="16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environments </w:t>
            </w:r>
          </w:p>
        </w:tc>
        <w:tc>
          <w:tcPr>
            <w:tcW w:type="dxa" w:w="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and </w:t>
            </w:r>
          </w:p>
        </w:tc>
        <w:tc>
          <w:tcPr>
            <w:tcW w:type="dxa" w:w="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34" w:after="0"/>
              <w:ind w:left="142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greater</w:t>
            </w:r>
          </w:p>
        </w:tc>
      </w:tr>
    </w:tbl>
    <w:p>
      <w:pPr>
        <w:autoSpaceDN w:val="0"/>
        <w:autoSpaceDE w:val="0"/>
        <w:widowControl/>
        <w:spacing w:line="293" w:lineRule="auto" w:before="34" w:after="66"/>
        <w:ind w:left="148" w:right="102" w:firstLine="0"/>
        <w:jc w:val="both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breeding capacity. Preliminary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research from West Africa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suggests the consumption and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trade of such species can be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sustainable in post-depletion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environments (see Cowlishaw </w:t>
      </w:r>
      <w:r>
        <w:rPr>
          <w:rFonts w:ascii="GillSansMT" w:hAnsi="GillSansMT" w:eastAsia="GillSansMT"/>
          <w:b/>
          <w:i w:val="0"/>
          <w:color w:val="222222"/>
          <w:sz w:val="22"/>
        </w:rPr>
        <w:t xml:space="preserve">et </w:t>
      </w:r>
      <w:r>
        <w:rPr>
          <w:rFonts w:ascii="GillSansMT" w:hAnsi="GillSansMT" w:eastAsia="GillSansMT"/>
          <w:b/>
          <w:i w:val="0"/>
          <w:color w:val="222222"/>
          <w:sz w:val="22"/>
        </w:rPr>
        <w:t>al.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, 2005), a finding that might </w:t>
      </w:r>
      <w:r>
        <w:rPr>
          <w:rFonts w:ascii="GillSansMT" w:hAnsi="GillSansMT" w:eastAsia="GillSansMT"/>
          <w:b/>
          <w:i/>
          <w:color w:val="222222"/>
          <w:sz w:val="22"/>
        </w:rPr>
        <w:t>be relevant in countries such as</w:t>
      </w:r>
    </w:p>
    <w:p>
      <w:pPr>
        <w:sectPr>
          <w:type w:val="nextColumn"/>
          <w:pgSz w:w="11713" w:h="16791"/>
          <w:pgMar w:top="678" w:right="1248" w:bottom="290" w:left="1416" w:header="720" w:footer="720" w:gutter="0"/>
          <w:cols w:space="720" w:num="2" w:equalWidth="0"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524"/>
        <w:gridCol w:w="4524"/>
      </w:tblGrid>
      <w:tr>
        <w:trPr>
          <w:trHeight w:hRule="exact" w:val="518"/>
        </w:trPr>
        <w:tc>
          <w:tcPr>
            <w:tcW w:type="dxa" w:w="57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12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With access to this information, those with authority over</w:t>
            </w:r>
          </w:p>
        </w:tc>
        <w:tc>
          <w:tcPr>
            <w:tcW w:type="dxa" w:w="21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166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Malawi.</w:t>
            </w:r>
          </w:p>
        </w:tc>
      </w:tr>
    </w:tbl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wildlife hunting and trade management (e.g. government decision-makers, community leaders), will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better equipped to establish appropriate management plans.  Decisions that might result could include,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for example: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Focusing conservation, including regulatory enforcement, efforts on particular species, e.g. those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whose populations have already declined to worrying levels and/or are particularly susceptible to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hunting pressure; and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Ceding management control to local people for species that can withstand higher levels of hunting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pressure, which may increase their willingness to forego access to other species that cannot. </w:t>
      </w:r>
    </w:p>
    <w:p>
      <w:pPr>
        <w:autoSpaceDN w:val="0"/>
        <w:autoSpaceDE w:val="0"/>
        <w:widowControl/>
        <w:spacing w:line="322" w:lineRule="exact" w:before="31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Current regulatory structures banning most if not all wildlife hunting and/or trade may preclude options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such as the latter in many cases, however, with the illegal nature of the wild meat trade being a key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stumbling block to its sustainable management.  As shown above, policies that criminalize the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have not been effective at bringing it under control, a situation that will surely continue in the face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what appear to be growing markets for wild meat in the region.  Greater consideration of alternative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scenarios, including legalizing hunting and trade of certain wild species for meat,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therefore required.  Such approaches are being experimented with in several countries in West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Central Africa that could provide useful models and “lessons learned” for East and Southern Africa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1: Box 3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</w:t>
      </w:r>
    </w:p>
    <w:p>
      <w:pPr>
        <w:autoSpaceDN w:val="0"/>
        <w:autoSpaceDE w:val="0"/>
        <w:widowControl/>
        <w:spacing w:line="320" w:lineRule="exact" w:before="30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Changes to existing regulatory structures would need to consider and ideally to take advantage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potential market value of legal wild meat supplies. In urban settings, wild meat holds promise as 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“luxury item”, i.e. a product that is able to avoid substitution even where alternatives exist 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competitive prices.  Should market research confirm that such luxury markets exist, wild meat would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appear to be less vulnerable to price fluctuation and product substitution and therefore likely to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58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47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3881120</wp:posOffset>
            </wp:positionH>
            <wp:positionV relativeFrom="page">
              <wp:posOffset>2540000</wp:posOffset>
            </wp:positionV>
            <wp:extent cx="2590800" cy="3683000"/>
            <wp:wrapNone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683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8483600"/>
            <wp:wrapNone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4836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5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1: Box 3</w:t>
      </w:r>
    </w:p>
    <w:p>
      <w:pPr>
        <w:autoSpaceDN w:val="0"/>
        <w:autoSpaceDE w:val="0"/>
        <w:widowControl/>
        <w:spacing w:line="242" w:lineRule="auto" w:before="350" w:after="0"/>
        <w:ind w:left="5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Managing the commercial wild meat trade in West and Central Africa</w:t>
      </w:r>
    </w:p>
    <w:p>
      <w:pPr>
        <w:autoSpaceDN w:val="0"/>
        <w:autoSpaceDE w:val="0"/>
        <w:widowControl/>
        <w:spacing w:line="278" w:lineRule="auto" w:before="348" w:after="0"/>
        <w:ind w:left="50" w:right="42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 West and Central Africa,experiments with alternative approaches to managing the wild meat trade that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are consumer-driven and provide incentives for sustainable management by community-based associ-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ations appear to correct many of the problems with more widespread command and control efforts.</w:t>
      </w:r>
    </w:p>
    <w:p>
      <w:pPr>
        <w:autoSpaceDN w:val="0"/>
        <w:autoSpaceDE w:val="0"/>
        <w:widowControl/>
        <w:spacing w:line="290" w:lineRule="auto" w:before="356" w:after="28"/>
        <w:ind w:left="50" w:right="453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 Cameroon, legal provision was first made for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community hunting zones in the revised National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Forest Policy of 1994. Thirteen such zones have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been mapped and identified as eligible for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establishment of community hunting management;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five such zones are now under active management.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 addition, the government is working with WWF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to create a system that will allow community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hunting groups to sell their meat legally outside the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local areas. The government is considering changes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to the law that would oblige wild meat traders in 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cities and towns to purchase wild meat from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4.000000000000057" w:type="dxa"/>
      </w:tblPr>
      <w:tblGrid>
        <w:gridCol w:w="2993"/>
        <w:gridCol w:w="2993"/>
        <w:gridCol w:w="2993"/>
      </w:tblGrid>
      <w:tr>
        <w:trPr>
          <w:trHeight w:hRule="exact" w:val="284"/>
        </w:trPr>
        <w:tc>
          <w:tcPr>
            <w:tcW w:type="dxa" w:w="658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8" w:after="0"/>
              <w:ind w:left="26" w:right="0" w:firstLine="0"/>
              <w:jc w:val="left"/>
            </w:pP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>"sustainable" sources, which in effect would mean</w:t>
            </w:r>
          </w:p>
        </w:tc>
        <w:tc>
          <w:tcPr>
            <w:tcW w:type="dxa" w:w="236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8" w:lineRule="exact" w:before="2166" w:after="0"/>
              <w:ind w:left="58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Martin Harvey/WWF-Canon </w:t>
            </w:r>
          </w:p>
        </w:tc>
      </w:tr>
      <w:tr>
        <w:trPr>
          <w:trHeight w:hRule="exact" w:val="300"/>
        </w:trPr>
        <w:tc>
          <w:tcPr>
            <w:tcW w:type="dxa" w:w="31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4" w:after="0"/>
              <w:ind w:left="26" w:right="0" w:firstLine="0"/>
              <w:jc w:val="left"/>
            </w:pP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>the Community Hunting Zones.</w:t>
            </w:r>
          </w:p>
        </w:tc>
        <w:tc>
          <w:tcPr>
            <w:tcW w:type="dxa" w:w="3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4" w:after="0"/>
              <w:ind w:left="130" w:right="0" w:firstLine="0"/>
              <w:jc w:val="left"/>
            </w:pP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>According to</w:t>
            </w:r>
          </w:p>
        </w:tc>
        <w:tc>
          <w:tcPr>
            <w:tcW w:type="dxa" w:w="2993"/>
            <w:vMerge/>
            <w:tcBorders/>
          </w:tcPr>
          <w:p/>
        </w:tc>
      </w:tr>
      <w:tr>
        <w:trPr>
          <w:trHeight w:hRule="exact" w:val="1768"/>
        </w:trPr>
        <w:tc>
          <w:tcPr>
            <w:tcW w:type="dxa" w:w="658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86" w:lineRule="auto" w:before="44" w:after="0"/>
              <w:ind w:left="26" w:right="2156" w:firstLine="0"/>
              <w:jc w:val="both"/>
            </w:pP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 xml:space="preserve">WWF, restaurants in Yaoundé are already in direct </w:t>
            </w: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 xml:space="preserve">contact with communities managing Community </w:t>
            </w: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 xml:space="preserve">Hunting Zones. In addition to legalizing potentially </w:t>
            </w: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 xml:space="preserve">lucrative income streams for local communities, </w:t>
            </w: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 xml:space="preserve">such changes would make circumvention of the </w:t>
            </w:r>
            <w:r>
              <w:rPr>
                <w:rFonts w:ascii="GillSansMT" w:hAnsi="GillSansMT" w:eastAsia="GillSansMT"/>
                <w:b w:val="0"/>
                <w:i w:val="0"/>
                <w:color w:val="000000"/>
                <w:sz w:val="21"/>
              </w:rPr>
              <w:t>rules more difficult by attempting to control</w:t>
            </w:r>
          </w:p>
        </w:tc>
        <w:tc>
          <w:tcPr>
            <w:tcW w:type="dxa" w:w="2993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14" w:lineRule="exact" w:before="0" w:after="56"/>
        <w:ind w:left="0" w:right="0"/>
      </w:pPr>
    </w:p>
    <w:p>
      <w:pPr>
        <w:sectPr>
          <w:pgSz w:w="11713" w:h="16791"/>
          <w:pgMar w:top="722" w:right="1298" w:bottom="290" w:left="1436" w:header="720" w:footer="720" w:gutter="0"/>
          <w:cols w:space="720" w:num="1" w:equalWidth="0"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81" w:lineRule="auto" w:before="0" w:after="0"/>
        <w:ind w:left="50" w:right="12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secondary wild meat markets in urban areas—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markets that should be easier to regulate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control than the highly decentralized primary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markets.</w:t>
      </w:r>
    </w:p>
    <w:p>
      <w:pPr>
        <w:sectPr>
          <w:type w:val="continuous"/>
          <w:pgSz w:w="11713" w:h="16791"/>
          <w:pgMar w:top="722" w:right="1298" w:bottom="290" w:left="1436" w:header="720" w:footer="720" w:gutter="0"/>
          <w:cols w:space="720" w:num="2" w:equalWidth="0"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54" w:lineRule="auto" w:before="0" w:after="1018"/>
        <w:ind w:left="120" w:right="144" w:firstLine="0"/>
        <w:jc w:val="left"/>
      </w:pPr>
      <w:r>
        <w:rPr>
          <w:rFonts w:ascii="GillSansMT" w:hAnsi="GillSansMT" w:eastAsia="GillSansMT"/>
          <w:b/>
          <w:i w:val="0"/>
          <w:color w:val="A9A9A9"/>
          <w:sz w:val="20"/>
        </w:rPr>
        <w:t xml:space="preserve">Antelope catch displayed back home in the </w:t>
      </w:r>
      <w:r>
        <w:rPr>
          <w:rFonts w:ascii="GillSansMT" w:hAnsi="GillSansMT" w:eastAsia="GillSansMT"/>
          <w:b/>
          <w:i w:val="0"/>
          <w:color w:val="A9A9A9"/>
          <w:sz w:val="20"/>
        </w:rPr>
        <w:t>village, Central Africa</w:t>
      </w:r>
    </w:p>
    <w:p>
      <w:pPr>
        <w:sectPr>
          <w:type w:val="nextColumn"/>
          <w:pgSz w:w="11713" w:h="16791"/>
          <w:pgMar w:top="722" w:right="1298" w:bottom="290" w:left="1436" w:header="720" w:footer="720" w:gutter="0"/>
          <w:cols w:space="720" w:num="2" w:equalWidth="0"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4992" w:val="left"/>
        </w:tabs>
        <w:autoSpaceDE w:val="0"/>
        <w:widowControl/>
        <w:spacing w:line="290" w:lineRule="auto" w:before="0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 Gabon, where hunting with a permit is legal, the government is considering regulating the wild meat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trade through the establishment of village associations. These associations would provide the only legal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source of meat for outside traders, and hunting could only be done by hunters registered with the village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association who possessed the appropriate permits.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This would build on existing accountability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mechanisms and may incorporate measures that buttress the ability of local people to avoid exploitation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by local elites or outsider traders and negotiate more equitable relationships with marketers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consumers alike. Urban consumers will continue to have access to the resource while local people will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be ensured a fair share of the benefits to which they are entitled as joint custodians of species used for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wild meat.</w:t>
      </w:r>
    </w:p>
    <w:p>
      <w:pPr>
        <w:autoSpaceDN w:val="0"/>
        <w:autoSpaceDE w:val="0"/>
        <w:widowControl/>
        <w:spacing w:line="238" w:lineRule="auto" w:before="358" w:after="0"/>
        <w:ind w:left="50" w:right="0" w:firstLine="0"/>
        <w:jc w:val="left"/>
      </w:pPr>
      <w:r>
        <w:rPr>
          <w:rFonts w:ascii="GillSansMT" w:hAnsi="GillSansMT" w:eastAsia="GillSansMT"/>
          <w:b w:val="0"/>
          <w:i/>
          <w:color w:val="000000"/>
          <w:sz w:val="21"/>
        </w:rPr>
        <w:t>Source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: Hurst (2007).</w:t>
      </w:r>
    </w:p>
    <w:p>
      <w:pPr>
        <w:autoSpaceDN w:val="0"/>
        <w:tabs>
          <w:tab w:pos="4070" w:val="left"/>
        </w:tabs>
        <w:autoSpaceDE w:val="0"/>
        <w:widowControl/>
        <w:spacing w:line="242" w:lineRule="auto" w:before="1380" w:after="0"/>
        <w:ind w:left="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48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type w:val="continuous"/>
          <w:pgSz w:w="11713" w:h="16791"/>
          <w:pgMar w:top="722" w:right="1298" w:bottom="290" w:left="1436" w:header="720" w:footer="720" w:gutter="0"/>
          <w:cols w:space="720" w:num="1" w:equalWidth="0"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4" w:lineRule="exact" w:before="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generate higher levels of returns to producers compared to other wild foods. In fact, evidence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other African regions suggests that hunters can capture a surprisingly high proportion of the value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added in the trade.  A recent study of the commodity chain in Ghana, for example, found that hunters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captured 74% of the final sale price in chop bars (Mendelson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2003).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Allowing commercial trade should not be viewed as some sort of a panacea, however.  The trade does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not necessarily operate in a pro-poor fashion (Brown, 2003), nor are there any guarantees that legal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supplies will be able to keep up with demand.  Urban demand seems certain to increase in the region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given rates of urbanization; sub-Saharan Africa is expected to have the highest rate of urban growth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world over the next decades (UNFPA, 2007).  The long-term sustainability of the trade is therefore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open for debate, and will depend greatly on the symmetry or divergence between demand for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meat, ecologically sustainable hunting levels, and the ability to implement agreed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systems.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Regardless of the pitfalls, approaches to the trade of wild meat that consider both poverty reduction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conservation agendas hold the potential of contributing positively to the growth of good governance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broader natural resource base (Brown and Williams, 2003).  Other sectors, e.g. forestry, have made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significant progress in giving local people greater control over forest resources, working with rural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people as partners, not as beneficiaries, and using people-centered frameworks for planning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implementation.  As agreements for more equitable benefit-sharing are made, rural people have been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more willing to work with governments to protect and improve or expand the forest, thereby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safeguarding an asset base of crucial importance to the poor as well as a national and international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public good.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MDGs recognize the centrality of a healthy environment in poverty reduction efforts, but without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legal stake in the future of this resource, local people will be wary of participating actively in its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conservation and this will undermine efforts aimed at reversing the decline in environmental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resources—one of the targets of MDG 7.  Changes must recognize the legitimacy of local claims but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also bind in law the responsibilities that go along with these claims.  For those countries that have not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already done so, the legitimacy of the access claims of the rural poor on wildlife resources in their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vicinity should be recognized. Devolution and/or decentralization is no guarantee that the twin goals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poverty alleviation and biodiversity conservation can be met.  But in the case of other natural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resource sectors—notably water management and forestry—there is a great deal of relevant experience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that should be mined to good effect (Shyamsundar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2005).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38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49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4229100</wp:posOffset>
            </wp:positionH>
            <wp:positionV relativeFrom="page">
              <wp:posOffset>3098800</wp:posOffset>
            </wp:positionV>
            <wp:extent cx="2413000" cy="3746500"/>
            <wp:wrapNone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37465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5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CASE STUDY 2:THE LATIN AMERICAN TRADE IN WILDLIFE </w:t>
      </w:r>
      <w:r>
        <w:rPr>
          <w:rFonts w:ascii="GillSansMT" w:hAnsi="GillSansMT" w:eastAsia="GillSansMT"/>
          <w:b/>
          <w:i w:val="0"/>
          <w:color w:val="000000"/>
          <w:sz w:val="28"/>
        </w:rPr>
        <w:t>SKINS AND WOOL</w:t>
      </w:r>
    </w:p>
    <w:p>
      <w:pPr>
        <w:autoSpaceDN w:val="0"/>
        <w:autoSpaceDE w:val="0"/>
        <w:widowControl/>
        <w:spacing w:line="240" w:lineRule="auto" w:before="316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The nature and scale of the Latin American skin trade </w:t>
      </w:r>
    </w:p>
    <w:p>
      <w:pPr>
        <w:autoSpaceDN w:val="0"/>
        <w:autoSpaceDE w:val="0"/>
        <w:widowControl/>
        <w:spacing w:line="320" w:lineRule="exact" w:before="318" w:after="26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collapse of the Amazon rubber boom in the early 1900s led many rural communities in South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America to look for other sources of income, of which the skin and fur trade was one.  Hunting for this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purpose increased rapidly, peaking in the 1950s and 1960s.  Pelts were sold through a system of profes-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sional hunters and traders until the 1970s.  Numerous species have been involved, the trade tending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follow the common pattern of species with a high value on the international market being over-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exploited in resource-poor areas, leading to a decline in</w:t>
      </w:r>
    </w:p>
    <w:p>
      <w:pPr>
        <w:sectPr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6" w:lineRule="exact" w:before="0" w:after="0"/>
        <w:ind w:left="0" w:right="15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availability and in some cases near extinction (e.g. some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spotted cats, otters, caimans, Vicuña, chinchilla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Chinchilla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spp.), and replacement by other species.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Protective legislation was introduced in many countries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the 1970s and 1980s and, along with changes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fashion, resulted in a decline in the trade for many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these species.  In tropical parts of South America, for</w:t>
      </w: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2" w:equalWidth="0"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93" w:lineRule="auto" w:before="0" w:after="66"/>
        <w:ind w:left="148" w:right="100" w:firstLine="0"/>
        <w:jc w:val="both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The joint exploitation of Spectacled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Caiman </w:t>
      </w:r>
      <w:r>
        <w:rPr>
          <w:rFonts w:ascii="GillSansMT" w:hAnsi="GillSansMT" w:eastAsia="GillSansMT"/>
          <w:b/>
          <w:i w:val="0"/>
          <w:color w:val="222222"/>
          <w:sz w:val="22"/>
        </w:rPr>
        <w:t xml:space="preserve">Caiman crocodilus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and tegu </w:t>
      </w:r>
      <w:r>
        <w:rPr>
          <w:rFonts w:ascii="GillSansMT" w:hAnsi="GillSansMT" w:eastAsia="GillSansMT"/>
          <w:b/>
          <w:i w:val="0"/>
          <w:color w:val="222222"/>
          <w:sz w:val="22"/>
        </w:rPr>
        <w:t xml:space="preserve">Tupinambus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spp. hides represented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more than 20% of the world trade of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the legal exports of reptile skins in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1990 (Chardonnet </w:t>
      </w:r>
      <w:r>
        <w:rPr>
          <w:rFonts w:ascii="GillSansMT" w:hAnsi="GillSansMT" w:eastAsia="GillSansMT"/>
          <w:b/>
          <w:i w:val="0"/>
          <w:color w:val="222222"/>
          <w:sz w:val="22"/>
        </w:rPr>
        <w:t>et al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., 2002). From </w:t>
      </w:r>
      <w:r>
        <w:rPr>
          <w:rFonts w:ascii="GillSansMT" w:hAnsi="GillSansMT" w:eastAsia="GillSansMT"/>
          <w:b/>
          <w:i/>
          <w:color w:val="222222"/>
          <w:sz w:val="22"/>
        </w:rPr>
        <w:t>1975 to 1986, over 16 million skins of</w:t>
      </w:r>
    </w:p>
    <w:p>
      <w:pPr>
        <w:sectPr>
          <w:type w:val="nextColumn"/>
          <w:pgSz w:w="11713" w:h="16791"/>
          <w:pgMar w:top="684" w:right="1248" w:bottom="290" w:left="1416" w:header="720" w:footer="720" w:gutter="0"/>
          <w:cols w:space="720" w:num="2" w:equalWidth="0"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5330" w:val="left"/>
          <w:tab w:pos="6760" w:val="left"/>
          <w:tab w:pos="7354" w:val="left"/>
        </w:tabs>
        <w:autoSpaceDE w:val="0"/>
        <w:widowControl/>
        <w:spacing w:line="294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example, skins have little or no trade value. </w:t>
      </w:r>
      <w:r>
        <w:tab/>
      </w:r>
      <w:r>
        <w:rPr>
          <w:rFonts w:ascii="GillSansMT" w:hAnsi="GillSansMT" w:eastAsia="GillSansMT"/>
          <w:b/>
          <w:i w:val="0"/>
          <w:color w:val="222222"/>
          <w:sz w:val="22"/>
        </w:rPr>
        <w:t xml:space="preserve">Tupinambis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spp.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>were exported</w:t>
      </w:r>
    </w:p>
    <w:p>
      <w:pPr>
        <w:autoSpaceDN w:val="0"/>
        <w:tabs>
          <w:tab w:pos="7898" w:val="left"/>
        </w:tabs>
        <w:autoSpaceDE w:val="0"/>
        <w:widowControl/>
        <w:spacing w:line="240" w:lineRule="auto" w:before="2" w:after="90"/>
        <w:ind w:left="5330" w:right="0" w:firstLine="0"/>
        <w:jc w:val="left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legally from Argentina. </w:t>
      </w:r>
      <w:r>
        <w:tab/>
      </w:r>
      <w:r>
        <w:rPr>
          <w:rFonts w:ascii="GillSansMT" w:hAnsi="GillSansMT" w:eastAsia="GillSansMT"/>
          <w:b/>
          <w:i/>
          <w:color w:val="222222"/>
          <w:sz w:val="22"/>
        </w:rPr>
        <w:t>This trade</w:t>
      </w: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2" w:lineRule="exact" w:before="0" w:after="0"/>
        <w:ind w:left="0" w:right="15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Elsewhere in the region, however, certain (more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common) species are still targeted specifically for their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skins including tegu lizards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Tupinamibis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spp.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;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Coypu</w:t>
      </w: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2" w:equalWidth="0"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81" w:lineRule="auto" w:before="0" w:after="66"/>
        <w:ind w:left="148" w:right="102" w:firstLine="0"/>
        <w:jc w:val="both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earned the national economy millions </w:t>
      </w:r>
      <w:r>
        <w:rPr>
          <w:rFonts w:ascii="GillSansMT" w:hAnsi="GillSansMT" w:eastAsia="GillSansMT"/>
          <w:b/>
          <w:i/>
          <w:color w:val="222222"/>
          <w:sz w:val="22"/>
        </w:rPr>
        <w:t xml:space="preserve">of dollars and had a considerable </w:t>
      </w:r>
      <w:r>
        <w:rPr>
          <w:rFonts w:ascii="GillSansMT" w:hAnsi="GillSansMT" w:eastAsia="GillSansMT"/>
          <w:b/>
          <w:i/>
          <w:color w:val="222222"/>
          <w:sz w:val="22"/>
        </w:rPr>
        <w:t>impact on rural populations from</w:t>
      </w:r>
    </w:p>
    <w:p>
      <w:pPr>
        <w:sectPr>
          <w:type w:val="nextColumn"/>
          <w:pgSz w:w="11713" w:h="16791"/>
          <w:pgMar w:top="684" w:right="1248" w:bottom="290" w:left="1416" w:header="720" w:footer="720" w:gutter="0"/>
          <w:cols w:space="720" w:num="2" w:equalWidth="0"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262"/>
        <w:gridCol w:w="2262"/>
        <w:gridCol w:w="2262"/>
        <w:gridCol w:w="2262"/>
      </w:tblGrid>
      <w:tr>
        <w:trPr>
          <w:trHeight w:hRule="exact" w:val="298"/>
        </w:trPr>
        <w:tc>
          <w:tcPr>
            <w:tcW w:type="dxa" w:w="51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4" w:after="0"/>
              <w:ind w:left="0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Myocastor coypus;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Capybara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Hydrochaeris hydrochaeris</w:t>
            </w:r>
          </w:p>
        </w:tc>
        <w:tc>
          <w:tcPr>
            <w:tcW w:type="dxa" w:w="24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northern Argentina,</w:t>
            </w:r>
          </w:p>
        </w:tc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where </w:t>
            </w:r>
          </w:p>
        </w:tc>
        <w:tc>
          <w:tcPr>
            <w:tcW w:type="dxa" w:w="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this</w:t>
            </w:r>
          </w:p>
        </w:tc>
      </w:tr>
    </w:tbl>
    <w:p>
      <w:pPr>
        <w:autoSpaceDN w:val="0"/>
        <w:autoSpaceDE w:val="0"/>
        <w:widowControl/>
        <w:spacing w:line="14" w:lineRule="exact" w:before="0" w:after="26"/>
        <w:ind w:left="0" w:right="0"/>
      </w:pP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94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Guanaco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Lama guanicoe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</w:t>
      </w: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2" w:equalWidth="0"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69" w:lineRule="auto" w:before="0" w:after="66"/>
        <w:ind w:left="1296" w:right="102" w:firstLine="0"/>
        <w:jc w:val="right"/>
      </w:pPr>
      <w:r>
        <w:rPr>
          <w:rFonts w:ascii="GillSansMT" w:hAnsi="GillSansMT" w:eastAsia="GillSansMT"/>
          <w:b/>
          <w:i/>
          <w:color w:val="222222"/>
          <w:sz w:val="22"/>
        </w:rPr>
        <w:t xml:space="preserve">activity became an important source </w:t>
      </w:r>
      <w:r>
        <w:rPr>
          <w:rFonts w:ascii="GillSansMT" w:hAnsi="GillSansMT" w:eastAsia="GillSansMT"/>
          <w:b/>
          <w:i/>
          <w:color w:val="222222"/>
          <w:sz w:val="22"/>
        </w:rPr>
        <w:t>of income (Chardonnet et al 2002).</w:t>
      </w:r>
    </w:p>
    <w:p>
      <w:pPr>
        <w:sectPr>
          <w:type w:val="nextColumn"/>
          <w:pgSz w:w="11713" w:h="16791"/>
          <w:pgMar w:top="684" w:right="1248" w:bottom="290" w:left="1416" w:header="720" w:footer="720" w:gutter="0"/>
          <w:cols w:space="720" w:num="2" w:equalWidth="0"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508"/>
        <w:gridCol w:w="1508"/>
        <w:gridCol w:w="1508"/>
        <w:gridCol w:w="1508"/>
        <w:gridCol w:w="1508"/>
        <w:gridCol w:w="1508"/>
      </w:tblGrid>
      <w:tr>
        <w:trPr>
          <w:trHeight w:hRule="exact" w:val="323"/>
        </w:trPr>
        <w:tc>
          <w:tcPr>
            <w:tcW w:type="dxa" w:w="51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06" w:lineRule="exact" w:before="18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This case study focuses on three taxa (</w:t>
            </w:r>
            <w:r>
              <w:rPr>
                <w:rFonts w:ascii="TimesNewRomanPS" w:hAnsi="TimesNewRomanPS" w:eastAsia="TimesNewRomanPS"/>
                <w:b/>
                <w:i w:val="0"/>
                <w:color w:val="000000"/>
                <w:sz w:val="22"/>
              </w:rPr>
              <w:t>Case Study 2: Box 1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)</w:t>
            </w:r>
          </w:p>
        </w:tc>
        <w:tc>
          <w:tcPr>
            <w:tcW w:type="dxa" w:w="7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The </w:t>
            </w:r>
          </w:p>
        </w:tc>
        <w:tc>
          <w:tcPr>
            <w:tcW w:type="dxa" w:w="160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 w:val="0"/>
                <w:color w:val="222222"/>
                <w:sz w:val="22"/>
              </w:rPr>
              <w:t>Tupinambus</w:t>
            </w:r>
          </w:p>
        </w:tc>
        <w:tc>
          <w:tcPr>
            <w:tcW w:type="dxa" w:w="6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42" w:firstLine="0"/>
              <w:jc w:val="righ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skin </w:t>
            </w:r>
          </w:p>
        </w:tc>
        <w:tc>
          <w:tcPr>
            <w:tcW w:type="dxa" w:w="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38" w:firstLine="0"/>
              <w:jc w:val="righ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trade</w:t>
            </w:r>
          </w:p>
        </w:tc>
      </w:tr>
      <w:tr>
        <w:trPr>
          <w:trHeight w:hRule="exact" w:val="295"/>
        </w:trPr>
        <w:tc>
          <w:tcPr>
            <w:tcW w:type="dxa" w:w="51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0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that have the potential to bring sustainable economic</w:t>
            </w:r>
          </w:p>
        </w:tc>
        <w:tc>
          <w:tcPr>
            <w:tcW w:type="dxa" w:w="166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 xml:space="preserve">subsequently </w:t>
            </w:r>
          </w:p>
        </w:tc>
        <w:tc>
          <w:tcPr>
            <w:tcW w:type="dxa" w:w="136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172" w:right="0" w:firstLine="0"/>
              <w:jc w:val="left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declined,</w:t>
            </w:r>
          </w:p>
        </w:tc>
        <w:tc>
          <w:tcPr>
            <w:tcW w:type="dxa" w:w="8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222222"/>
                <w:sz w:val="22"/>
              </w:rPr>
              <w:t>though</w:t>
            </w:r>
          </w:p>
        </w:tc>
      </w:tr>
    </w:tbl>
    <w:p>
      <w:pPr>
        <w:autoSpaceDN w:val="0"/>
        <w:autoSpaceDE w:val="0"/>
        <w:widowControl/>
        <w:spacing w:line="14" w:lineRule="exact" w:before="0" w:after="26"/>
        <w:ind w:left="0" w:right="0"/>
      </w:pP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08" w:lineRule="exact" w:before="0" w:after="0"/>
        <w:ind w:left="0" w:right="144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benefit to local communities, but for which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obstacles constrain this potential: </w:t>
      </w: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2" w:equalWidth="0"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40" w:lineRule="auto" w:before="0" w:after="730"/>
        <w:ind w:left="150" w:right="0" w:firstLine="0"/>
        <w:jc w:val="left"/>
      </w:pPr>
      <w:r>
        <w:rPr>
          <w:rFonts w:ascii="GillSansMT" w:hAnsi="GillSansMT" w:eastAsia="GillSansMT"/>
          <w:b/>
          <w:i/>
          <w:color w:val="222222"/>
          <w:sz w:val="22"/>
        </w:rPr>
        <w:t>continues in smaller quantities.</w:t>
      </w:r>
    </w:p>
    <w:p>
      <w:pPr>
        <w:sectPr>
          <w:type w:val="nextColumn"/>
          <w:pgSz w:w="11713" w:h="16791"/>
          <w:pgMar w:top="684" w:right="1248" w:bottom="290" w:left="1416" w:header="720" w:footer="720" w:gutter="0"/>
          <w:cols w:space="720" w:num="2" w:equalWidth="0"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288" w:val="left"/>
        </w:tabs>
        <w:autoSpaceDE w:val="0"/>
        <w:widowControl/>
        <w:spacing w:line="314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Peccaries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The White-lipped Peccary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Tayassu pecari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and the Collared Peccary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Pecari tajacu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are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capable of withstanding exploitation and are listed as Lower Risk/Least Concern in the IUCN Red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List (IUCN, 2007b), although the Chacoan Peccary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Catagonus wagneri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has a narrow range and is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listed as Endangered.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Caimans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 Caiman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spp. and Black Caiman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Melanosuchus niger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Several species were over-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exploited before the trade was regulated and trade shifted between species and countries as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regulations were developed and enforced; all caiman species are listed as Lower Risk on the IUCN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Red List and all but Black Caiman are further categorized as Least Concern.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Vicuña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was brought to near-extinction through overhunting but is now recovering (categorized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as Lower Risk/Conservation Dependent in the IUCN Red List) and subject to intensive management.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51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50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1075690</wp:posOffset>
            </wp:positionH>
            <wp:positionV relativeFrom="page">
              <wp:posOffset>4015740</wp:posOffset>
            </wp:positionV>
            <wp:extent cx="3651250" cy="2608034"/>
            <wp:wrapNone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651250" cy="260803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1066800</wp:posOffset>
            </wp:positionH>
            <wp:positionV relativeFrom="page">
              <wp:posOffset>4000500</wp:posOffset>
            </wp:positionV>
            <wp:extent cx="3670300" cy="2628900"/>
            <wp:wrapNone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6289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0" w:lineRule="auto" w:before="0" w:after="0"/>
        <w:ind w:left="3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Management of the skin trade</w:t>
      </w:r>
    </w:p>
    <w:p>
      <w:pPr>
        <w:autoSpaceDN w:val="0"/>
        <w:autoSpaceDE w:val="0"/>
        <w:widowControl/>
        <w:spacing w:line="320" w:lineRule="exact" w:before="318" w:after="0"/>
        <w:ind w:left="3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trade in all three taxa is subject to management at both the national and international levels.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mid-20th century, even prior to the coming into effect of CITES, many South American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governments banned exports of native wildlife because of real or perceived wildlife population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declines. </w:t>
      </w:r>
    </w:p>
    <w:p>
      <w:pPr>
        <w:autoSpaceDN w:val="0"/>
        <w:autoSpaceDE w:val="0"/>
        <w:widowControl/>
        <w:spacing w:line="240" w:lineRule="auto" w:before="354" w:after="0"/>
        <w:ind w:left="3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Peccaries</w:t>
      </w:r>
    </w:p>
    <w:p>
      <w:pPr>
        <w:autoSpaceDN w:val="0"/>
        <w:autoSpaceDE w:val="0"/>
        <w:widowControl/>
        <w:spacing w:line="320" w:lineRule="exact" w:before="328" w:after="0"/>
        <w:ind w:left="3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Peccary skins—particularly from Collared Peccaries—were in high demand and had been exported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large quantities from many Latin American countries during the first half of the 20th century (Ojasti,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1996), prior to the entry into force of national export bans on trade in these and other species. 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example, between 1946 and 1973, nearly 1.3 million White-lipped Peccary and three million Collared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Peccary skins were exported from Peru (WCMC/IUCN-SSC/TRAFFIC, 1999). </w:t>
      </w:r>
    </w:p>
    <w:p>
      <w:pPr>
        <w:autoSpaceDN w:val="0"/>
        <w:autoSpaceDE w:val="0"/>
        <w:widowControl/>
        <w:spacing w:line="320" w:lineRule="exact" w:before="320" w:after="12"/>
        <w:ind w:left="6192" w:right="22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 1987, Collared and White-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lipped Peccaries were listed in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3134.0" w:type="dxa"/>
      </w:tblPr>
      <w:tblGrid>
        <w:gridCol w:w="2270"/>
        <w:gridCol w:w="2270"/>
        <w:gridCol w:w="2270"/>
        <w:gridCol w:w="2270"/>
      </w:tblGrid>
      <w:tr>
        <w:trPr>
          <w:trHeight w:hRule="exact" w:val="320"/>
        </w:trPr>
        <w:tc>
          <w:tcPr>
            <w:tcW w:type="dxa" w:w="4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116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Appendix </w:t>
            </w:r>
          </w:p>
        </w:tc>
        <w:tc>
          <w:tcPr>
            <w:tcW w:type="dxa" w:w="4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II </w:t>
            </w:r>
          </w:p>
        </w:tc>
        <w:tc>
          <w:tcPr>
            <w:tcW w:type="dxa" w:w="4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of </w:t>
            </w:r>
          </w:p>
        </w:tc>
        <w:tc>
          <w:tcPr>
            <w:tcW w:type="dxa" w:w="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3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CITES</w:t>
            </w:r>
          </w:p>
        </w:tc>
      </w:tr>
    </w:tbl>
    <w:p>
      <w:pPr>
        <w:autoSpaceDN w:val="0"/>
        <w:autoSpaceDE w:val="0"/>
        <w:widowControl/>
        <w:spacing w:line="316" w:lineRule="exact" w:before="0" w:after="12"/>
        <w:ind w:left="628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(excluding the US and Mexican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populations of White-lipped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Peccaries), allowing interna-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26"/>
        <w:gridCol w:w="3026"/>
        <w:gridCol w:w="3026"/>
      </w:tblGrid>
      <w:tr>
        <w:trPr>
          <w:trHeight w:hRule="exact" w:val="318"/>
        </w:trPr>
        <w:tc>
          <w:tcPr>
            <w:tcW w:type="dxa" w:w="234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6" w:lineRule="exact" w:before="0" w:after="0"/>
              <w:ind w:left="590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Juan Pratginestos/WWF-Canon </w:t>
            </w:r>
          </w:p>
        </w:tc>
        <w:tc>
          <w:tcPr>
            <w:tcW w:type="dxa" w:w="504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372" w:after="0"/>
              <w:ind w:left="86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 xml:space="preserve">White-lipped Peccary </w:t>
            </w:r>
            <w:r>
              <w:rPr>
                <w:rFonts w:ascii="GillSansMT" w:hAnsi="GillSansMT" w:eastAsia="GillSansMT"/>
                <w:b/>
                <w:i/>
                <w:color w:val="A9A9A9"/>
                <w:sz w:val="20"/>
              </w:rPr>
              <w:t>Tayassu pecari</w:t>
            </w: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, Brazil</w:t>
            </w:r>
          </w:p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tional trade under a system of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permits designed to ensure that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peccary products in interna-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tional trade were sourced in a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legal and sustainable manner.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National export bans remain in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place in range States (Altrichter</w:t>
            </w:r>
          </w:p>
        </w:tc>
      </w:tr>
      <w:tr>
        <w:trPr>
          <w:trHeight w:hRule="exact" w:val="320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and Boaglio, 2004), except for</w:t>
            </w:r>
          </w:p>
        </w:tc>
      </w:tr>
      <w:tr>
        <w:trPr>
          <w:trHeight w:hRule="exact" w:val="322"/>
        </w:trPr>
        <w:tc>
          <w:tcPr>
            <w:tcW w:type="dxa" w:w="3026"/>
            <w:vMerge/>
            <w:tcBorders/>
          </w:tcPr>
          <w:p/>
        </w:tc>
        <w:tc>
          <w:tcPr>
            <w:tcW w:type="dxa" w:w="3026"/>
            <w:vMerge/>
            <w:tcBorders/>
          </w:tcPr>
          <w:p/>
        </w:tc>
        <w:tc>
          <w:tcPr>
            <w:tcW w:type="dxa" w:w="3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in Peru.  Here, the skins may</w:t>
            </w:r>
          </w:p>
        </w:tc>
      </w:tr>
    </w:tbl>
    <w:p>
      <w:pPr>
        <w:autoSpaceDN w:val="0"/>
        <w:autoSpaceDE w:val="0"/>
        <w:widowControl/>
        <w:spacing w:line="318" w:lineRule="exact" w:before="0" w:after="0"/>
        <w:ind w:left="3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only be obtained from subsistence hunters living in the Amazonian region—hunting by commercial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professional hunters is prohibited.  A quota system has been established by the National Institute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Natural Resources (INRENA) to ensure the trade is sustainable—about 50 000 Collared Peccary skins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20 000 White-lipped Peccary skins were exported in the mid-1990s (Bodmer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1997).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According to CITES annual report data, an annual average of approximately 15 000 White-lipped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Peccary skins and 48 000 Collared Peccary skins were exported from Peru 2000–2006. </w:t>
      </w:r>
    </w:p>
    <w:p>
      <w:pPr>
        <w:autoSpaceDN w:val="0"/>
        <w:autoSpaceDE w:val="0"/>
        <w:widowControl/>
        <w:spacing w:line="320" w:lineRule="exact" w:before="320" w:after="0"/>
        <w:ind w:left="3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Demand is met by illegal commercial hunting in other countries, particularly Brazil (Nogueira-Filho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Nogueira, 2004).  Changes are under way, however, which may increase the legal supply of skins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help ease the demand for illegally sourced products: </w:t>
      </w:r>
    </w:p>
    <w:p>
      <w:pPr>
        <w:autoSpaceDN w:val="0"/>
        <w:tabs>
          <w:tab w:pos="8774" w:val="left"/>
        </w:tabs>
        <w:autoSpaceDE w:val="0"/>
        <w:widowControl/>
        <w:spacing w:line="242" w:lineRule="auto" w:before="1858" w:after="0"/>
        <w:ind w:left="5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51</w:t>
      </w:r>
    </w:p>
    <w:p>
      <w:pPr>
        <w:sectPr>
          <w:pgSz w:w="11713" w:h="16791"/>
          <w:pgMar w:top="684" w:right="1248" w:bottom="290" w:left="1386" w:header="720" w:footer="720" w:gutter="0"/>
          <w:cols w:space="720" w:num="1" w:equalWidth="0"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8648700"/>
            <wp:wrapNone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648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5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2: Box 1</w:t>
      </w:r>
    </w:p>
    <w:p>
      <w:pPr>
        <w:autoSpaceDN w:val="0"/>
        <w:autoSpaceDE w:val="0"/>
        <w:widowControl/>
        <w:spacing w:line="242" w:lineRule="auto" w:before="280" w:after="0"/>
        <w:ind w:left="0" w:right="0" w:firstLine="0"/>
        <w:jc w:val="center"/>
      </w:pPr>
      <w:r>
        <w:rPr>
          <w:rFonts w:ascii="GillSansMT" w:hAnsi="GillSansMT" w:eastAsia="GillSansMT"/>
          <w:b/>
          <w:i w:val="0"/>
          <w:color w:val="000000"/>
          <w:sz w:val="24"/>
        </w:rPr>
        <w:t>The local significance of trade in peccaries, caimans and Vicuña in Latin America</w:t>
      </w:r>
    </w:p>
    <w:p>
      <w:pPr>
        <w:autoSpaceDN w:val="0"/>
        <w:autoSpaceDE w:val="0"/>
        <w:widowControl/>
        <w:spacing w:line="281" w:lineRule="auto" w:before="318" w:after="0"/>
        <w:ind w:left="50" w:right="20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0"/>
        </w:rPr>
        <w:t>Peccaries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have played an important role in the economic and cultural development of many indigenous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people—such as the Mayan Lacandones in Mexico, Mundurucu tribe in Brazil and Guayaki in Paraguay—and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have provided an important resource for many tribal and rural groups for protein and income (March, 1993).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Both Collared and White-lipped Peccaries are widely hunted for meat for both subsistence use and sale in local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markets. In the Peruvian Amazon peccaries are worth up to USD23 (Collared) and USD30 (White-lipped) per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animal for their meat (Bodmer </w:t>
      </w:r>
      <w:r>
        <w:rPr>
          <w:rFonts w:ascii="GillSansMT" w:hAnsi="GillSansMT" w:eastAsia="GillSansMT"/>
          <w:b w:val="0"/>
          <w:i/>
          <w:color w:val="000000"/>
          <w:sz w:val="20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., 2004a).</w:t>
      </w:r>
    </w:p>
    <w:p>
      <w:pPr>
        <w:autoSpaceDN w:val="0"/>
        <w:autoSpaceDE w:val="0"/>
        <w:widowControl/>
        <w:spacing w:line="283" w:lineRule="auto" w:before="328" w:after="0"/>
        <w:ind w:left="50" w:right="2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Skins are a by-product of the meat trade and often discarded because of the lack of profitability of skin sales.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In the Loreto region of the Peruvian Amazon, for example, hunters from both indigenous and non-indigenous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rural communities receive USD2–5 for a skin and collectively generate about USD74 500 over the year.This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might appear considerable, but in fact is only about 11% of the value of the peccary meat trade (USD633 265)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in the same region (Bodmer </w:t>
      </w:r>
      <w:r>
        <w:rPr>
          <w:rFonts w:ascii="GillSansMT" w:hAnsi="GillSansMT" w:eastAsia="GillSansMT"/>
          <w:b w:val="0"/>
          <w:i/>
          <w:color w:val="000000"/>
          <w:sz w:val="20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., 2004b). The skins do, however, have potentially significant value, providing a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high grade leather for quality gloves (e.g. golf gloves), shoes, belts and watch straps for which there is interna-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tional demand (Bodmer </w:t>
      </w:r>
      <w:r>
        <w:rPr>
          <w:rFonts w:ascii="GillSansMT" w:hAnsi="GillSansMT" w:eastAsia="GillSansMT"/>
          <w:b w:val="0"/>
          <w:i/>
          <w:color w:val="000000"/>
          <w:sz w:val="20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., 2004b; Nogueira-Filho and Nogueira, 2004). Gloves retail for EUR120–180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(USD95–143) a pair in Europe (Anon., 2006).</w:t>
      </w:r>
    </w:p>
    <w:p>
      <w:pPr>
        <w:autoSpaceDN w:val="0"/>
        <w:autoSpaceDE w:val="0"/>
        <w:widowControl/>
        <w:spacing w:line="286" w:lineRule="auto" w:before="328" w:after="0"/>
        <w:ind w:left="50" w:right="20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0"/>
        </w:rPr>
        <w:t>Caimans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are crocodilians—a taxonomic group of which Latin America has the highest diversity in the world,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with 12 taxa occurring from Mexico to Argentina. Caiman skin is considered inferior to that of classic leather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from true crocodiles </w:t>
      </w:r>
      <w:r>
        <w:rPr>
          <w:rFonts w:ascii="GillSansMT" w:hAnsi="GillSansMT" w:eastAsia="GillSansMT"/>
          <w:b w:val="0"/>
          <w:i/>
          <w:color w:val="000000"/>
          <w:sz w:val="20"/>
        </w:rPr>
        <w:t>Crocodilus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spp. and alligators because of the bony deposits in the skin that complicate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tanning and alter the appearance of the leather. However, caiman skins have become a mainstay of the trade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because of over-exploitation of more highly valued species elsewhere in the world (Thorbjarnarson,1999). The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trade is largely based on intensive production—or ranching—which can be a source of rare jobs that may be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highly valued by unskilled or semi-skilled workers. In Bolivia, for example, some 1750 people were employed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in the Yacare Caiman leather trade in 2005 (Burgener, 2007) and it is estimated that over 60% of the income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from the trade benefited indigenous populations compared to just under 40% for private ranch owners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(Aparicio and Rios, 2006).</w:t>
      </w:r>
    </w:p>
    <w:p>
      <w:pPr>
        <w:autoSpaceDN w:val="0"/>
        <w:tabs>
          <w:tab w:pos="2510" w:val="left"/>
        </w:tabs>
        <w:autoSpaceDE w:val="0"/>
        <w:widowControl/>
        <w:spacing w:line="283" w:lineRule="auto" w:before="328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The </w:t>
      </w:r>
      <w:r>
        <w:rPr>
          <w:rFonts w:ascii="GillSansMT" w:hAnsi="GillSansMT" w:eastAsia="GillSansMT"/>
          <w:b/>
          <w:i w:val="0"/>
          <w:color w:val="000000"/>
          <w:sz w:val="20"/>
        </w:rPr>
        <w:t>Vicuña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is a member of the camel family found only at elevations above 3500 m in the central Andes of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Argentina, Bolivia, Chile, and Peru (although there is also a small, introduced population in Ecuador)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(Lichtenstein and Vila, 2003; CITES 2007a). The Vicuña fleece produces one of the finest wools in the world,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which is used to make highly valued cloth. Each Vicuña can yield 200–220 g of wool every two to three years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from live-shearing, most of this fibre being exported to Italy, the main manufacturing centre (Lichenstein and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Renaudeau d’Arc, undated).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Market prices in 2004 were about USD566/kg (Sahley </w:t>
      </w:r>
      <w:r>
        <w:rPr>
          <w:rFonts w:ascii="GillSansMT" w:hAnsi="GillSansMT" w:eastAsia="GillSansMT"/>
          <w:b w:val="0"/>
          <w:i/>
          <w:color w:val="000000"/>
          <w:sz w:val="20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., 2007)—over 10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times the value of cashmere.Vicuña scarves and jackets may retail for as much as USD1000 and USD5000 each,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respectively (Lichtenstein and Vila, 2003).</w:t>
      </w:r>
    </w:p>
    <w:p>
      <w:pPr>
        <w:autoSpaceDN w:val="0"/>
        <w:tabs>
          <w:tab w:pos="5832" w:val="left"/>
        </w:tabs>
        <w:autoSpaceDE w:val="0"/>
        <w:widowControl/>
        <w:spacing w:line="283" w:lineRule="auto" w:before="328" w:after="0"/>
        <w:ind w:left="5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Jobs associated with the trade in Vicuña wool are also highly valued in Peru. In the district of San Cristobal,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community members involved in Vicuña work can collectively earn about USD50 000 a year (Roe </w:t>
      </w:r>
      <w:r>
        <w:rPr>
          <w:rFonts w:ascii="GillSansMT" w:hAnsi="GillSansMT" w:eastAsia="GillSansMT"/>
          <w:b w:val="0"/>
          <w:i/>
          <w:color w:val="000000"/>
          <w:sz w:val="20"/>
        </w:rPr>
        <w:t>et al.,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 2002).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This kind of money is highly significant when it is considered that the range of the Vicuña coincides with the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home of some of the poorest people in South America, who inhabit a region with harsh climatic conditions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that reduce options for agriculture and limit economic activities.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Household economies are based on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subsistence agriculture and livestock herding and there is much out-migration of people to seek better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 xml:space="preserve">opportunities in cities and rural areas at lower altitudes (Bonacic and Gimpel, 2003; Lichtenstein and Vila, 2003; </w:t>
      </w:r>
      <w:r>
        <w:rPr>
          <w:rFonts w:ascii="GillSansMT" w:hAnsi="GillSansMT" w:eastAsia="GillSansMT"/>
          <w:b w:val="0"/>
          <w:i w:val="0"/>
          <w:color w:val="000000"/>
          <w:sz w:val="20"/>
        </w:rPr>
        <w:t>CITES 2007a).</w:t>
      </w:r>
    </w:p>
    <w:p>
      <w:pPr>
        <w:autoSpaceDN w:val="0"/>
        <w:tabs>
          <w:tab w:pos="4070" w:val="left"/>
        </w:tabs>
        <w:autoSpaceDE w:val="0"/>
        <w:widowControl/>
        <w:spacing w:line="242" w:lineRule="auto" w:before="1152" w:after="0"/>
        <w:ind w:left="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52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722" w:right="1318" w:bottom="290" w:left="1436" w:header="720" w:footer="720" w:gutter="0"/>
          <w:cols w:space="720" w:num="1" w:equalWidth="0"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4394200</wp:posOffset>
            </wp:positionV>
            <wp:extent cx="5753100" cy="4660900"/>
            <wp:wrapNone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6609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tabs>
          <w:tab w:pos="288" w:val="left"/>
        </w:tabs>
        <w:autoSpaceDE w:val="0"/>
        <w:widowControl/>
        <w:spacing w:line="31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Brazil, the national agency for wildlife management (Instituto Brasileiro do Meio Ambiente e dos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Recursos Naturais Renováveis, IBAMA) is experimenting with semi-intensive production of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peccaries and other species including Common Rhea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Rhea americana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and capybara as an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alternative to extensive ranching or wild capture.  The production models indicate that meat yields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can be significant under this system, but in order to make production commercially viable the skins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must also be used to provide income from the leather (Noguiera-Filho and Nogueira, 2004). </w:t>
      </w:r>
    </w:p>
    <w:p>
      <w:pPr>
        <w:autoSpaceDN w:val="0"/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Bolivia, previously an important exporter, is in the process of re-opening peccary skin exports from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select number of indigenous communities (Anon., 2006) in association with the Bolivian Biotrade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Programme (FFI, 2006).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Altrichter (2005) has suggested that there might also be potential for re-opening the skin trade 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Argentina, also previously an important exporter.</w:t>
      </w:r>
    </w:p>
    <w:p>
      <w:pPr>
        <w:autoSpaceDN w:val="0"/>
        <w:autoSpaceDE w:val="0"/>
        <w:widowControl/>
        <w:spacing w:line="328" w:lineRule="exact" w:before="312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certification programme is also being developed that may provide the incentives necessary to ensure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that skins come from sustainably managed populations and that they are of the quality required by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industry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2: Box 2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).</w:t>
      </w:r>
    </w:p>
    <w:p>
      <w:pPr>
        <w:autoSpaceDN w:val="0"/>
        <w:autoSpaceDE w:val="0"/>
        <w:widowControl/>
        <w:spacing w:line="242" w:lineRule="auto" w:before="794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2: Box 2</w:t>
      </w:r>
    </w:p>
    <w:p>
      <w:pPr>
        <w:autoSpaceDN w:val="0"/>
        <w:autoSpaceDE w:val="0"/>
        <w:widowControl/>
        <w:spacing w:line="242" w:lineRule="auto" w:before="30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Exploring certification of the peccary skin trade</w:t>
      </w:r>
    </w:p>
    <w:p>
      <w:pPr>
        <w:autoSpaceDN w:val="0"/>
        <w:autoSpaceDE w:val="0"/>
        <w:widowControl/>
        <w:spacing w:line="290" w:lineRule="auto" w:before="348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Peccary Pelt Certification Project, an initiative of the Durrell Institute for Conservation and Ecology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(DICE) and the Wildlife Conservation Society (WCS), is aimed at increasing benefits to communities by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“certifying” or labelling pelts that come from sustainably managed populations, thus increasing their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market value. Communities already involved in community wildlife management schemes have been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approached to participate in the project and are enthusiastic as they see the certification programme as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 means of securing long-term support. The hunters see the associated capacity-building programme as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 means to help improve the preparation—and thus quality and price—of pelts. Currently skins are of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poor quality owing to the presence of ticks and other marks, but the low pelt prices have meant that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hunters do not consider it worth investing in good preparation techniques, although these were well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known by early professional hunters (Bodmer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., 2004a). Middlemen, tanneries and exporters are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supportive as they believe this will help guarantee sustainability of peccary populations and thus their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business interests.</w:t>
      </w:r>
    </w:p>
    <w:p>
      <w:pPr>
        <w:autoSpaceDN w:val="0"/>
        <w:autoSpaceDE w:val="0"/>
        <w:widowControl/>
        <w:spacing w:line="288" w:lineRule="auto" w:before="356" w:after="0"/>
        <w:ind w:left="70" w:right="92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Unless subsidised by donor funding, the initial costs of certification to the communities will be high, since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peccary leather industry is not currently in a position to cover costs. Direct costs will vary depending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on the number of communities applying for certification and the distance that certifiers have to travel.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Indirect costs will include the investment needed to ensure that local communities set up sustainable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wildlife management schemes that meet certification standards (training in sustainable hunting practices,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development of community-based management plans and no-hunting zones, establishment of hunting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registers) and the transport of certified pelts (Bodmer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 2004a).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94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53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3110230</wp:posOffset>
            </wp:positionH>
            <wp:positionV relativeFrom="page">
              <wp:posOffset>1383030</wp:posOffset>
            </wp:positionV>
            <wp:extent cx="3360420" cy="2219145"/>
            <wp:wrapNone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221914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3098800</wp:posOffset>
            </wp:positionH>
            <wp:positionV relativeFrom="page">
              <wp:posOffset>1371600</wp:posOffset>
            </wp:positionV>
            <wp:extent cx="3378200" cy="2235200"/>
            <wp:wrapNone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22352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Caimans</w:t>
      </w:r>
    </w:p>
    <w:p>
      <w:pPr>
        <w:autoSpaceDN w:val="0"/>
        <w:autoSpaceDE w:val="0"/>
        <w:widowControl/>
        <w:spacing w:line="320" w:lineRule="exact" w:before="326" w:after="14"/>
        <w:ind w:left="0" w:right="579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By the early 1970s, an estimated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90% of the two million or so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crocodilian skins in trade were from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005"/>
        <w:gridCol w:w="1005"/>
        <w:gridCol w:w="1005"/>
        <w:gridCol w:w="1005"/>
        <w:gridCol w:w="1005"/>
        <w:gridCol w:w="1005"/>
        <w:gridCol w:w="1005"/>
        <w:gridCol w:w="1005"/>
        <w:gridCol w:w="1005"/>
      </w:tblGrid>
      <w:tr>
        <w:trPr>
          <w:trHeight w:hRule="exact" w:val="304"/>
        </w:trPr>
        <w:tc>
          <w:tcPr>
            <w:tcW w:type="dxa" w:w="4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0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the </w:t>
            </w:r>
          </w:p>
        </w:tc>
        <w:tc>
          <w:tcPr>
            <w:tcW w:type="dxa" w:w="80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Latin </w:t>
            </w:r>
          </w:p>
        </w:tc>
        <w:tc>
          <w:tcPr>
            <w:tcW w:type="dxa" w:w="110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American </w:t>
            </w:r>
          </w:p>
        </w:tc>
        <w:tc>
          <w:tcPr>
            <w:tcW w:type="dxa" w:w="104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Common</w:t>
            </w:r>
          </w:p>
        </w:tc>
        <w:tc>
          <w:tcPr>
            <w:tcW w:type="dxa" w:w="54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804" w:after="0"/>
              <w:ind w:left="130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 xml:space="preserve">Yacare Caiman </w:t>
            </w:r>
            <w:r>
              <w:rPr>
                <w:rFonts w:ascii="GillSansMT" w:hAnsi="GillSansMT" w:eastAsia="GillSansMT"/>
                <w:b/>
                <w:i/>
                <w:color w:val="A9A9A9"/>
                <w:sz w:val="20"/>
              </w:rPr>
              <w:t>Caiman yacare</w:t>
            </w: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, exploited for the leather</w:t>
            </w:r>
          </w:p>
        </w:tc>
        <w:tc>
          <w:tcPr>
            <w:tcW w:type="dxa" w:w="24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8" w:lineRule="exact" w:before="26" w:after="0"/>
              <w:ind w:left="0" w:right="542" w:firstLine="0"/>
              <w:jc w:val="righ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 Michel Gunther/WWF-Canon </w:t>
            </w:r>
          </w:p>
        </w:tc>
      </w:tr>
      <w:tr>
        <w:trPr>
          <w:trHeight w:hRule="exact" w:val="320"/>
        </w:trPr>
        <w:tc>
          <w:tcPr>
            <w:tcW w:type="dxa" w:w="336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Caiman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Caiman crocodilus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 (Hutton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and Webb, 2003).  Exploitation was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occurring at such a rate, however,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that many populations declined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864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rapidly, </w:t>
            </w:r>
          </w:p>
        </w:tc>
        <w:tc>
          <w:tcPr>
            <w:tcW w:type="dxa" w:w="78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some </w:t>
            </w:r>
          </w:p>
        </w:tc>
        <w:tc>
          <w:tcPr>
            <w:tcW w:type="dxa" w:w="108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reaching </w:t>
            </w:r>
          </w:p>
        </w:tc>
        <w:tc>
          <w:tcPr>
            <w:tcW w:type="dxa" w:w="6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near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extinction.  As with some other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crocodilian species, some caimans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were therefore listed in CITES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200"/>
        </w:trPr>
        <w:tc>
          <w:tcPr>
            <w:tcW w:type="dxa" w:w="3364"/>
            <w:gridSpan w:val="7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Appendix I with the coming into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120"/>
        </w:trPr>
        <w:tc>
          <w:tcPr>
            <w:tcW w:type="dxa" w:w="7035"/>
            <w:gridSpan w:val="7"/>
            <w:vMerge/>
            <w:tcBorders/>
          </w:tcPr>
          <w:p/>
        </w:tc>
        <w:tc>
          <w:tcPr>
            <w:tcW w:type="dxa" w:w="540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60" w:after="0"/>
              <w:ind w:left="130" w:right="0" w:firstLine="0"/>
              <w:jc w:val="left"/>
            </w:pPr>
            <w:r>
              <w:rPr>
                <w:rFonts w:ascii="GillSansMT" w:hAnsi="GillSansMT" w:eastAsia="GillSansMT"/>
                <w:b/>
                <w:i w:val="0"/>
                <w:color w:val="A9A9A9"/>
                <w:sz w:val="20"/>
              </w:rPr>
              <w:t>trade in Bolivia</w:t>
            </w:r>
          </w:p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20"/>
        </w:trPr>
        <w:tc>
          <w:tcPr>
            <w:tcW w:type="dxa" w:w="336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force of the Convention in 1975: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  <w:tr>
        <w:trPr>
          <w:trHeight w:hRule="exact" w:val="336"/>
        </w:trPr>
        <w:tc>
          <w:tcPr>
            <w:tcW w:type="dxa" w:w="1224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8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Broad-nosed </w:t>
            </w:r>
          </w:p>
        </w:tc>
        <w:tc>
          <w:tcPr>
            <w:tcW w:type="dxa" w:w="110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28" w:after="0"/>
              <w:ind w:left="27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Caiman </w:t>
            </w:r>
          </w:p>
        </w:tc>
        <w:tc>
          <w:tcPr>
            <w:tcW w:type="dxa" w:w="104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0" w:lineRule="exact" w:before="50" w:after="0"/>
              <w:ind w:left="210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Caiman</w:t>
            </w:r>
          </w:p>
        </w:tc>
        <w:tc>
          <w:tcPr>
            <w:tcW w:type="dxa" w:w="1005"/>
            <w:vMerge/>
            <w:tcBorders/>
          </w:tcPr>
          <w:p/>
        </w:tc>
        <w:tc>
          <w:tcPr>
            <w:tcW w:type="dxa" w:w="1005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94" w:lineRule="exact" w:before="12" w:after="0"/>
        <w:ind w:left="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latirostris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Black Caiman and the Common Caiman subspecies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C. crocodilus apaporiensis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Some trade in skins of the Appendix I-listed species/subspecies continued—either legally, as trade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captive-bred specimens and/or only countries not Party to CITES, or illegally, in response to the high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demand.  In order to tackle the illegal trade, CITES Parties permitted transfer of certain crocodilian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and/or populations from Appendix I to II as long as measures to ensure sustainability were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taken—including strict quotas for wild harvested specimens and/or ranching programmes (Hutton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Webb, 2003).  This included, for example, Ecuador’s population of Black Caiman (initially subject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 zero export quota) in 1995, and Brazil’s population of this species in 2007.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response to concerns regarding population declines and associated CITES processes, during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1980s countries around the world developed crocodilian management programmes.  These included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harvesting from the wild and ranching programmes in, for example, Venezuela, Guyana, Brazil,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Argentina and Bolivia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2: Box 3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), as well as captive-breeding initiatives.  Trade therefore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moved from being dominated by skins harvested from the wild prior to the 1980s to being dominated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by ranched or captive-bred specimens after the 1980s (MacGregor, 2002).  Management programmes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based on evaluations of the impact of the harvest on wild populations and, in the case of ranching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captive breeding, include restocking wild populations with juveniles reared in captivity (A. Velasco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 litt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Regional Chairman, Latin America and the Caribbean, Crocodile Specialist Group of IUCN,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6 November 2007). In order to pre-empt any re-emergence of the illegal trade, CITES Parties also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introduced a universal tagging system in 1992, whereby skins are required to be certified at points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origin and re-export as having been legally sourced.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2206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54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88" w:right="1248" w:bottom="290" w:left="1416" w:header="720" w:footer="720" w:gutter="0"/>
          <w:cols w:space="720" w:num="1" w:equalWidth="0"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5880100"/>
            <wp:wrapNone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880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2: Box 3</w:t>
      </w:r>
    </w:p>
    <w:p>
      <w:pPr>
        <w:autoSpaceDN w:val="0"/>
        <w:autoSpaceDE w:val="0"/>
        <w:widowControl/>
        <w:spacing w:line="242" w:lineRule="auto" w:before="32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Examples of caiman management programmes in Latin America</w:t>
      </w:r>
    </w:p>
    <w:p>
      <w:pPr>
        <w:autoSpaceDN w:val="0"/>
        <w:autoSpaceDE w:val="0"/>
        <w:widowControl/>
        <w:spacing w:line="290" w:lineRule="auto" w:before="368" w:after="0"/>
        <w:ind w:left="70" w:right="92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1"/>
        </w:rPr>
        <w:t>Venezuela: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A management programme was started for the Common Caiman in 1983 by the Ministry of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Environment and Natural Resources (MARNR), aimed at commercial production of skins, with meat as a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commercial by-product. Under this programme, harvesting of wild populations on authorized private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cattle ranches is allowed under permits issued by MARNR, provided certain conditions are met. There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are seasonal and minimum size limits, a quota, and skins must be marked with a unique number plastic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tag to comply with CITES tagging requirements. The large quantity exported (about 40 000–50 000 a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year 1997–2003 (Velasco and de Sola, 2005) is thought to be sustainable. Some 10 million hectares of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land within the Llanos area are now within the programme, although not all caiman populations are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harvested (Thorbjarnarson and Velasco, 1999).</w:t>
      </w:r>
    </w:p>
    <w:p>
      <w:pPr>
        <w:autoSpaceDN w:val="0"/>
        <w:autoSpaceDE w:val="0"/>
        <w:widowControl/>
        <w:spacing w:line="302" w:lineRule="exact" w:before="298" w:after="0"/>
        <w:ind w:left="70" w:right="90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1"/>
        </w:rPr>
        <w:t>Bolivia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: A total ban on wildlife export introduced in 1990 was lifted in 1999 and programmes for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harvesting Common Caiman and Yacare Caiman were initiated based on the Venezuelan model, with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licences given to indigenous communities or cattle farmers by the Ministry of Environment, Natural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Resources and Forest Development (VMARNDF), to harvest wild populations. An annual quota is set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based on censuses. In 1999, the quota for Common Caiman was 36 500 skins and 30 000 skins were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harvested in Beni Province by the Indigenous Communities of Beni (CPIB) for commercial use (i.e. to be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sent to tanneries). The quota has increased in recent years but is within that set by CITES (FFI, 2006;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Burgener, 2007). Export quotas were set at 50 000 skins for each of the years 2006–2008. A ranching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programme using wild-collected eggs was initiated in 2006 (Velasco </w:t>
      </w:r>
      <w:r>
        <w:rPr>
          <w:rFonts w:ascii="GillSansMT" w:hAnsi="GillSansMT" w:eastAsia="GillSansMT"/>
          <w:b w:val="0"/>
          <w:i/>
          <w:color w:val="000000"/>
          <w:sz w:val="21"/>
        </w:rPr>
        <w:t>in litt.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6 November 2007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).</w:t>
      </w:r>
    </w:p>
    <w:p>
      <w:pPr>
        <w:autoSpaceDN w:val="0"/>
        <w:autoSpaceDE w:val="0"/>
        <w:widowControl/>
        <w:spacing w:line="286" w:lineRule="auto" w:before="342" w:after="0"/>
        <w:ind w:left="70" w:right="90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1"/>
        </w:rPr>
        <w:t>Brazil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: A ranching programme for Yacare Caiman has been under way for many years involving collection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of eggs from the wild and rearing in captivity (CITES, 2007b)</w:t>
      </w:r>
      <w:r>
        <w:rPr>
          <w:rFonts w:ascii="GillSansMT" w:hAnsi="GillSansMT" w:eastAsia="GillSansMT"/>
          <w:b w:val="0"/>
          <w:i/>
          <w:color w:val="000000"/>
          <w:sz w:val="21"/>
        </w:rPr>
        <w:t>.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Black Caiman are taken from the wild for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meat and the skins are not used, but a wild-harvesting programme for skins has been proposed, following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an experimental programme that looked at its economic potential. Harvesting would be allowed only in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Sustainable Use Conservation Units and would focus on juvenile males, with the take limited to less than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10% of the estimated non-hatchling population size (FFI, 2006; CITES, 2007b).</w:t>
      </w:r>
    </w:p>
    <w:p>
      <w:pPr>
        <w:autoSpaceDN w:val="0"/>
        <w:autoSpaceDE w:val="0"/>
        <w:widowControl/>
        <w:spacing w:line="242" w:lineRule="auto" w:before="538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Vicuña</w:t>
      </w:r>
    </w:p>
    <w:p>
      <w:pPr>
        <w:autoSpaceDN w:val="0"/>
        <w:autoSpaceDE w:val="0"/>
        <w:widowControl/>
        <w:spacing w:line="320" w:lineRule="exact" w:before="32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Inca considered the Vicuña to be sacred and collected the wool by rounding animals up into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corral and shearing them—an annual activity called 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chaku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Following the arrival of Europeans,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Vicuñas were hunted rather than shorn—in order to speed up the wool production—and this, combined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with livestock competition and possibly disease brought by domestic European livestock, led to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drastic decline in populations, from an estimated two million at the time of the Spanish Conquest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about 10 000 in the 1960s.  The Vicuña was therefore listed in CITES Appendix I as soon as it came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into force, reflecting its perilous conservation status (Engler and Parry-Jones, 2007; Lichtenstein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Renaudeau d’Arc, undated).  Even prior to CITES, however, a regional Convention for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Conservation and Management of Vicuña (Vicuña Convention) had been developed (in 1967) and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566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55</w:t>
      </w:r>
    </w:p>
    <w:p>
      <w:pPr>
        <w:sectPr>
          <w:pgSz w:w="11713" w:h="16791"/>
          <w:pgMar w:top="722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1402080</wp:posOffset>
            </wp:positionH>
            <wp:positionV relativeFrom="page">
              <wp:posOffset>1855470</wp:posOffset>
            </wp:positionV>
            <wp:extent cx="4739640" cy="2909859"/>
            <wp:wrapNone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39640" cy="290985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1397000</wp:posOffset>
            </wp:positionH>
            <wp:positionV relativeFrom="page">
              <wp:posOffset>1841500</wp:posOffset>
            </wp:positionV>
            <wp:extent cx="4749800" cy="2933700"/>
            <wp:wrapNone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2933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0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signed by Bolivia and Peru in 1969, Chile and Argentina in 1974 (Bonacic and Gimpel, 2003),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Ecuador in 1979.  A primary objective of the Convention is to protect wild Vicuñas for the benefit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Andean communities and to allow trade in wool shorn from live animals (Lichtenstein and Vila, 2003).</w:t>
      </w:r>
    </w:p>
    <w:p>
      <w:pPr>
        <w:autoSpaceDN w:val="0"/>
        <w:autoSpaceDE w:val="0"/>
        <w:widowControl/>
        <w:spacing w:line="188" w:lineRule="exact" w:before="2992" w:after="0"/>
        <w:ind w:left="0" w:right="3924" w:firstLine="0"/>
        <w:jc w:val="right"/>
      </w:pPr>
      <w:r>
        <w:rPr>
          <w:rFonts w:ascii="TimesNewRomanPS" w:hAnsi="TimesNewRomanPS" w:eastAsia="TimesNewRomanPS"/>
          <w:b w:val="0"/>
          <w:i/>
          <w:color w:val="000000"/>
          <w:sz w:val="14"/>
        </w:rPr>
        <w:t>Credit</w:t>
      </w:r>
      <w:r>
        <w:rPr>
          <w:rFonts w:ascii="TimesNewRomanPSMT" w:hAnsi="TimesNewRomanPSMT" w:eastAsia="TimesNewRomanPSMT"/>
          <w:b w:val="0"/>
          <w:i w:val="0"/>
          <w:color w:val="000000"/>
          <w:sz w:val="14"/>
        </w:rPr>
        <w:t xml:space="preserve">: Hartmut Jungius/WWF-Canon </w:t>
      </w:r>
    </w:p>
    <w:p>
      <w:pPr>
        <w:autoSpaceDN w:val="0"/>
        <w:autoSpaceDE w:val="0"/>
        <w:widowControl/>
        <w:spacing w:line="240" w:lineRule="auto" w:before="114" w:after="0"/>
        <w:ind w:left="788" w:right="0" w:firstLine="0"/>
        <w:jc w:val="left"/>
      </w:pPr>
      <w:r>
        <w:rPr>
          <w:rFonts w:ascii="GillSansMT" w:hAnsi="GillSansMT" w:eastAsia="GillSansMT"/>
          <w:b/>
          <w:i w:val="0"/>
          <w:color w:val="A9A9A9"/>
          <w:sz w:val="20"/>
        </w:rPr>
        <w:t xml:space="preserve">Vicuña </w:t>
      </w:r>
      <w:r>
        <w:rPr>
          <w:rFonts w:ascii="GillSansMT" w:hAnsi="GillSansMT" w:eastAsia="GillSansMT"/>
          <w:b/>
          <w:i/>
          <w:color w:val="A9A9A9"/>
          <w:sz w:val="20"/>
        </w:rPr>
        <w:t>Vicugna vicugna</w:t>
      </w:r>
    </w:p>
    <w:p>
      <w:pPr>
        <w:autoSpaceDN w:val="0"/>
        <w:autoSpaceDE w:val="0"/>
        <w:widowControl/>
        <w:spacing w:line="320" w:lineRule="exact" w:before="552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Vicuña populations made a rapid comeback—the total population size is now in the order of over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quarter of a million (Bonacic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2006).  As a result, by 1987, some populations were transferred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CITES Appendix II to allow trade in wool from live-shorn animals and, by 2003, all populations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Peru and Bolivia and some populations in Argentina and Chile had been so transferred.  As for caimans,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all products traded must be labelled, identifying the country of origin of the wool.  Also as for caimans,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different countries have developed different approaches to Vicuña management.  Two broad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models have emerged—communal and private.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Communal management schemes, whereby whole communities are collectively responsible for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animals on their land, first started in Peru and are now being extended to Bolivia and Chile.  Bolivia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Peru have specific legislation that supports this approach and seeks to ensure that the benefits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Vicuña use accrue to local people (Lichtenstein and Vila, 2003; Engler and Parry-Jones, 2007). 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contrast, Argentina, where land is mainly owned by private ranchers, has a system based on private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ownership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2: Box 4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 New legislation in Peru allowing individuals, as well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communities, to own Vicuñas on their land has opened the way to privatization in this country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resulted in much concern in some quarters as benefits to communities could potentially be reduced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(Sahley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2004).</w:t>
      </w:r>
    </w:p>
    <w:p>
      <w:pPr>
        <w:autoSpaceDN w:val="0"/>
        <w:autoSpaceDE w:val="0"/>
        <w:widowControl/>
        <w:spacing w:line="320" w:lineRule="exact" w:before="320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Vicuña management plans were originally designed for whole communities to catch small groups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Vicuñas annually, shear them, and then release them, thus having minimal impacts on the wild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56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1968500</wp:posOffset>
            </wp:positionV>
            <wp:extent cx="5753100" cy="5461000"/>
            <wp:wrapNone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461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4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population (called wild management).  However, there is now a growing trend in both the communal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private systems for captive management, which means that animals are kept permanently in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system of fully fenced enclosures or corrals on land from which domestic stock has been removed. 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third system, used in Peru, is “repopulation” (see below). </w:t>
      </w:r>
    </w:p>
    <w:p>
      <w:pPr>
        <w:autoSpaceDN w:val="0"/>
        <w:autoSpaceDE w:val="0"/>
        <w:widowControl/>
        <w:spacing w:line="242" w:lineRule="auto" w:before="518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2: Box 4</w:t>
      </w:r>
    </w:p>
    <w:p>
      <w:pPr>
        <w:autoSpaceDN w:val="0"/>
        <w:autoSpaceDE w:val="0"/>
        <w:widowControl/>
        <w:spacing w:line="240" w:lineRule="auto" w:before="302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Peru and Argentina: Different approaches to managing Vicuña</w:t>
      </w:r>
    </w:p>
    <w:p>
      <w:pPr>
        <w:autoSpaceDN w:val="0"/>
        <w:autoSpaceDE w:val="0"/>
        <w:widowControl/>
        <w:spacing w:line="288" w:lineRule="auto" w:before="348" w:after="0"/>
        <w:ind w:left="70" w:right="90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1"/>
        </w:rPr>
        <w:t>Peru: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The campesino communities on whose land the Vicuña live were granted ownership of the animals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and the right to use their products in 1995. Communities must set up Vicuña Management Committees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and register with the government (Wheeler and Hoces, 1997; Sahley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., 2004). The wool is sold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through the National Vicuña Society (NVS), a federation of producer communities set up in 1993, which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prevents competition between producers and with intermediaries and ensures the “exclusivity” of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product. NVS organizes the sale of the wool to an international consortium based in Italy (de Roy, 2002;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Roe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 2002).</w:t>
      </w:r>
    </w:p>
    <w:p>
      <w:pPr>
        <w:autoSpaceDN w:val="0"/>
        <w:autoSpaceDE w:val="0"/>
        <w:widowControl/>
        <w:spacing w:line="288" w:lineRule="auto" w:before="356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All three types of management are being implemented. Most Vicuña in Peru are under “wild” management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where the communities employ guards to protect the animals on their land from illegal hunting and, once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 year, organize the </w:t>
      </w:r>
      <w:r>
        <w:rPr>
          <w:rFonts w:ascii="GillSansMT" w:hAnsi="GillSansMT" w:eastAsia="GillSansMT"/>
          <w:b w:val="0"/>
          <w:i/>
          <w:color w:val="000000"/>
          <w:sz w:val="21"/>
        </w:rPr>
        <w:t>chakus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. Captive management was initiated in 1996 by the National Council (or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Corporation) for South American Camelids (CONACS) and is being promoted by the government.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CONACS provides the fencing to build corrals on communal land but communities have to repay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cost through the sale of wool. An estimated 26 000 Vicuña are now kept in this manner. The third type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of management is repopulation and involves transferring animals from dense populations to communities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that have few Vicuñas; these translocated animals are maintained in corrals (Sahley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al.,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2004).</w:t>
      </w:r>
    </w:p>
    <w:p>
      <w:pPr>
        <w:autoSpaceDN w:val="0"/>
        <w:autoSpaceDE w:val="0"/>
        <w:widowControl/>
        <w:spacing w:line="288" w:lineRule="auto" w:before="356" w:after="0"/>
        <w:ind w:left="70" w:right="90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1"/>
        </w:rPr>
        <w:t>Argentina: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There is no wild management of Vicuña in Argentina but around 1500 animals are kept in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corrals owned by individual ranchers. Fencing materials and shearing equipment are provided by the main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local wool buyers but the cost of these has to be repaid in wool, which may take four to 10 years.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Vicuña are provided by the State-run National Institute of Agriculture and Cattle Technology (INTA) from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its own captive herd; INTA also runs the wool auction and provides technical assistance (Lichtenstein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Vila, 2003). The producers have to repay INTA with Vicuña produced by their captive herds, which may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also take several years.</w:t>
      </w:r>
    </w:p>
    <w:p>
      <w:pPr>
        <w:autoSpaceDN w:val="0"/>
        <w:autoSpaceDE w:val="0"/>
        <w:widowControl/>
        <w:spacing w:line="240" w:lineRule="auto" w:before="72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Impacts of trade management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and associated harvest management has certainly resulted in increases in populations of the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described above.  Vicuña populations have recovered sufficiently well for community-based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and trade programmes to begin.  Caiman populations have also recovered—although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is still centred on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ex situ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production.  Trade management has, not surprisingly, had some impact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on local incomes, however.  Revenue from the Latin American skin trade was greatest in the period of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58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57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1950s to 1970s, before controls on trade were introduced—although this was to the detriment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wildlife involved, as was particularly evident with caimans and Vicuñas.  As a result,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benefits on the scale seen during the middle of the last century would have been relatively short-lived,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regardless of whether trade controls were introduced.  If trade had pushed to the point where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populations were further reduced, and/or species became extinct, then the income potential would have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been lost permanently.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Achieving similar levels of economic benefits through sustainable management is proving more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difficult because of the generally lower rates of exploitation, the higher management costs involved,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slower rates of return.  Despite the high value of the products and the particular characteristics that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make these species suitable for exploitation (high reproductive rates in caimans and peccaries; live-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shearing of wool from Vicuñas) incomes are currently only marginal, particularly for hunters (Bodmer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2004b).  The total annual value of the Peruvian peccary skin trade, for example, is estimated 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USD4 868 500, of which only 1.5% goes to the hunters, 11.1% to the national pelt industry and 87.3%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the international leather industry (Chardonnet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2002; Bodmer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2004a).  The three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Peruvian tanneries that work with peccary skins do, however, have a respectable return.  Two work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exclusively with these species and one tans other types of leather as well (Bodmer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2004a).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Economic returns from caiman harvesting may be similarly small.  In Venezuela, for example,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1983–1995, an average of 80 000 caimans were harvested annually with a total export value of over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USD115 million for that period.  However the mean annual income from the sale of caiman skins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 average sized ranch (9435 ha) was only USD2114, which is very small compared with the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cattle (USD66 800–223 000) from a similar sized ranch (Thorbjarnarson and Velasco, 1999).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Income earned through, for example, the collection of eggs or neonates can, however, be significant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poor and landless with few other income-generating opportunities (Thorbjarnarson, 1999).  Most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caiman harvesting programmes are implemented by local people, including ranch owners,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indigenous people.  Hunters and egg collectors receive a salary or are paid according to how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skins they obtain or eggs they collect, nevertheless respecting the annual regulations based 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biological, ecological, reproductive studies for all species in all countries (A. Velasco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 litt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6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November 2007).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Burgener (2007) concludes that local people are benefiting from the caiman skin trade in Bolivia, but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there are concerns that the programme may be closed down as a result of problems in the value chain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conflicts among stakeholders, lack of proper monitoring and control systems and an inadequate legal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framework (FFI, 2006).  The United Nations Conference on Environment and Development’s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(UNCTAD) BioTrade Initiative is trying to address this problem by exploring the potential of a certifi-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cation scheme for caiman leather in order to help promote the quality and sustainability of the trade,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thus generating better and more secure returns for local participants.</w:t>
      </w:r>
    </w:p>
    <w:p>
      <w:pPr>
        <w:autoSpaceDN w:val="0"/>
        <w:autoSpaceDE w:val="0"/>
        <w:widowControl/>
        <w:spacing w:line="320" w:lineRule="exact" w:before="320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Vicuña trade is better documented, but even here it is not entirely clear to what extent communities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are benefiting.  Lichtenstein and Vila (2003) considered that over the 10 years after trade in Vicuña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58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58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wool was allowed to resume, “the economic benefits intended to change local community attitudes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towards Vicuñas” had “yet to deliver either conservation or poverty alleviation”.  The hope was that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opening trade in wool from live-shorn Vicuñas would encourage local participation and create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positive attitude towards this species that would lead to greater tolerance on community lands where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Vicuñas tend to compete with domestic livestock, reduced poaching (or a decrease in logistic support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poachers), gradual replacement of sheep and cows by Vicuñas, and support for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measures.  However, commentators have mixed opinions on whether this has indeed been the case.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Peru, over 780 Andean communities (over 250 000 families) are registered to participate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managing Vicuñas (although not all are involved yet) (Sahley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2004).  There is considerable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variation in the extent to which different communities benefit from the wool trade, however (Bonacic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Gimpel, 2003) and the greatest benefits captured are where Vicuña abundance is high, effective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property rights agreements have been agreed, and the wild management system is used (Roe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2002; Engler and Parry-Jones, 2007).  In the districts of Lucanas and San Cristobal, for example, which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have 11 000 and 7000 animals, respectively, each animal is worth USD17–28 a year (based on 1998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wool prices) (Roe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2002).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However, where captive management is used, the communities have to cover the costs of materials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corrals (approximately USD20 000 each), provide their labour for free, and remove their domestic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animals from the land.  As a result, some small communities have fallen into debt (Lichtenstein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Vila, 2003).  It has been calculated that a minimum of 250 Vicuñas are needed for the economic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viability of a captive management scheme (Sahley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2004).  In Argentina, over 30% of captive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 enterprises have reportedly given up or had to close down (Lichtenstein and Vila, 2003).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level of economic benefit also depends very much on the market price for wool.  In 1994, NVS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managed to get a good deal at the first auction for wool—2000 kg brought in USD1.3 million;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proceeds were divided among the 35 communities involved, 30% being earmarked for Vicuña conser-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vation and management activities, and 70% for community development activities (Wheeler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Hoces, 1997).  Since then, prices have been lower, stagnating at USD140/lb (about USD300/kg) as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result of the monopoly held by the International Vicuña Consortium (de Roy, 2002). </w:t>
      </w:r>
    </w:p>
    <w:p>
      <w:pPr>
        <w:autoSpaceDN w:val="0"/>
        <w:autoSpaceDE w:val="0"/>
        <w:widowControl/>
        <w:spacing w:line="247" w:lineRule="auto" w:before="33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Conclusions—the contribution of the skin trade to achieving </w:t>
      </w:r>
      <w:r>
        <w:rPr>
          <w:rFonts w:ascii="GillSansMT" w:hAnsi="GillSansMT" w:eastAsia="GillSansMT"/>
          <w:b/>
          <w:i w:val="0"/>
          <w:color w:val="000000"/>
          <w:sz w:val="28"/>
        </w:rPr>
        <w:t>the MDGs</w:t>
      </w:r>
    </w:p>
    <w:p>
      <w:pPr>
        <w:autoSpaceDN w:val="0"/>
        <w:autoSpaceDE w:val="0"/>
        <w:widowControl/>
        <w:spacing w:line="320" w:lineRule="exact" w:before="31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It is clear that the Latin American skins and wool trade is contributing to MDG 1 in terms of income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employment.  Management of the trade also contributes to MDG 7 on environmental sustain-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ability—there appears to be little concern about any ecological impacts.  Wild management of Vicuñas,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example, is generally considered to have a positive impact on the environment (although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monitoring data are lacking), while there is no evidence that caiman and peccary harvesting is having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any detrimental effect and the proposed harvesting and certification programmes require that healthy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habitat is maintained.  In this case, therefore, the trade is not undermining the natural resource base 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which poor communities are so dependent for their livelihoods. 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59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However, a much greater understanding of the social and economic status of the communities involved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at the production end is needed in order to understand the significance of the trade to household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local community economies better.  Given that the Latin American skin trade is aimed primarily 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international, high-value markets, it faces many of the same challenges for local livelihoods as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other NTFP commercialization programmes—as discussed earlier in this report—including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(Thorbjarnarson, 1999):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2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relatively limited market for luxury goods, which is influenced by the global fashion industry;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competition from other cheaper but equivalent products (e.g. cashmere from China and improved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wool from sheep and Alpacas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Vicugna pacos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in the case of Vicuña wool (Bonacic and Gimpel,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2003); Ostrich in the case of caiman leather);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fact that trade in luxury goods is likely to decline first if the global economic situation worsens;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•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problems associated with ensuring a steady production of skins where many sustainable use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programmes are not working effectively enough to deliver steady supplies.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Nevertheless, the experiences from the various efforts at sustainable management suggest interesting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approaches and models for the future that could enhance the livelihood contributions made by this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trade.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86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60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3108960</wp:posOffset>
            </wp:positionH>
            <wp:positionV relativeFrom="page">
              <wp:posOffset>1986280</wp:posOffset>
            </wp:positionV>
            <wp:extent cx="3361690" cy="4275055"/>
            <wp:wrapNone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361690" cy="427505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3098800</wp:posOffset>
            </wp:positionH>
            <wp:positionV relativeFrom="page">
              <wp:posOffset>1981200</wp:posOffset>
            </wp:positionV>
            <wp:extent cx="3378200" cy="4292600"/>
            <wp:wrapNone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42926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5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CASE STUDY 3: TRADE IN ASIAN COASTAL FISHERIES </w:t>
      </w:r>
      <w:r>
        <w:rPr>
          <w:rFonts w:ascii="GillSansMT" w:hAnsi="GillSansMT" w:eastAsia="GillSansMT"/>
          <w:b/>
          <w:i w:val="0"/>
          <w:color w:val="000000"/>
          <w:sz w:val="28"/>
        </w:rPr>
        <w:t>PRODUCTS</w:t>
      </w:r>
    </w:p>
    <w:p>
      <w:pPr>
        <w:autoSpaceDN w:val="0"/>
        <w:autoSpaceDE w:val="0"/>
        <w:widowControl/>
        <w:spacing w:line="240" w:lineRule="auto" w:before="316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Introduction</w:t>
      </w:r>
    </w:p>
    <w:p>
      <w:pPr>
        <w:autoSpaceDN w:val="0"/>
        <w:autoSpaceDE w:val="0"/>
        <w:widowControl/>
        <w:spacing w:line="320" w:lineRule="exact" w:before="318" w:after="12"/>
        <w:ind w:left="0" w:right="579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Marine fish and invertebrates are the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last great source of wild-caught food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 the planet.  Over one third of the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global fish catch is traded interna-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tionally and a large proportion of the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remainder enters local trade.  The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 trade is steadily increasing and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worldwide is worth over USD71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billion a year (Macfadyen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2005).  The main direction of trade is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262"/>
        <w:gridCol w:w="2262"/>
        <w:gridCol w:w="2262"/>
        <w:gridCol w:w="2262"/>
      </w:tblGrid>
      <w:tr>
        <w:trPr>
          <w:trHeight w:hRule="exact" w:val="320"/>
        </w:trPr>
        <w:tc>
          <w:tcPr>
            <w:tcW w:type="dxa" w:w="58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from </w:t>
            </w:r>
          </w:p>
        </w:tc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developing </w:t>
            </w:r>
          </w:p>
        </w:tc>
        <w:tc>
          <w:tcPr>
            <w:tcW w:type="dxa" w:w="11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countries </w:t>
            </w:r>
          </w:p>
        </w:tc>
        <w:tc>
          <w:tcPr>
            <w:tcW w:type="dxa" w:w="31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1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to</w:t>
            </w:r>
          </w:p>
        </w:tc>
      </w:tr>
    </w:tbl>
    <w:p>
      <w:pPr>
        <w:autoSpaceDN w:val="0"/>
        <w:autoSpaceDE w:val="0"/>
        <w:widowControl/>
        <w:spacing w:line="294" w:lineRule="exact" w:before="14" w:after="12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developed countries, on top of a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262"/>
        <w:gridCol w:w="2262"/>
        <w:gridCol w:w="2262"/>
        <w:gridCol w:w="2262"/>
      </w:tblGrid>
      <w:tr>
        <w:trPr>
          <w:trHeight w:hRule="exact" w:val="320"/>
        </w:trPr>
        <w:tc>
          <w:tcPr>
            <w:tcW w:type="dxa" w:w="6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huge </w:t>
            </w:r>
          </w:p>
        </w:tc>
        <w:tc>
          <w:tcPr>
            <w:tcW w:type="dxa" w:w="11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domestic </w:t>
            </w:r>
          </w:p>
        </w:tc>
        <w:tc>
          <w:tcPr>
            <w:tcW w:type="dxa" w:w="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trade </w:t>
            </w:r>
          </w:p>
        </w:tc>
        <w:tc>
          <w:tcPr>
            <w:tcW w:type="dxa" w:w="36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146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within</w:t>
            </w:r>
          </w:p>
        </w:tc>
      </w:tr>
    </w:tbl>
    <w:p>
      <w:pPr>
        <w:autoSpaceDN w:val="0"/>
        <w:autoSpaceDE w:val="0"/>
        <w:widowControl/>
        <w:spacing w:line="314" w:lineRule="exact" w:before="0" w:after="8"/>
        <w:ind w:left="0" w:right="576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developing countries.  Growth in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international trade is symptomatic of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262"/>
        <w:gridCol w:w="2262"/>
        <w:gridCol w:w="2262"/>
        <w:gridCol w:w="2262"/>
      </w:tblGrid>
      <w:tr>
        <w:trPr>
          <w:trHeight w:hRule="exact" w:val="1282"/>
        </w:trPr>
        <w:tc>
          <w:tcPr>
            <w:tcW w:type="dxa" w:w="6004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0" w:after="0"/>
              <w:ind w:left="0" w:right="2750" w:firstLine="0"/>
              <w:jc w:val="both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a rapidly globalizing market, fuelled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by growing demand for fish in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developed countries and facilitated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by new storage and transport</w:t>
            </w:r>
          </w:p>
        </w:tc>
        <w:tc>
          <w:tcPr>
            <w:tcW w:type="dxa" w:w="3000"/>
            <w:vMerge w:val="restart"/>
            <w:tcBorders/>
            <w:tcMar>
              <w:start w:w="0" w:type="dxa"/>
              <w:end w:w="0" w:type="dxa"/>
            </w:tcMar>
            <w:textDirection w:val="btLr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8" w:lineRule="exact" w:before="278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:Cat Holloway/WWF-Canon </w:t>
            </w:r>
          </w:p>
        </w:tc>
      </w:tr>
      <w:tr>
        <w:trPr>
          <w:trHeight w:hRule="exact" w:val="320"/>
        </w:trPr>
        <w:tc>
          <w:tcPr>
            <w:tcW w:type="dxa" w:w="138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technologies </w:t>
            </w:r>
          </w:p>
        </w:tc>
        <w:tc>
          <w:tcPr>
            <w:tcW w:type="dxa" w:w="11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(Kurien, </w:t>
            </w:r>
          </w:p>
        </w:tc>
        <w:tc>
          <w:tcPr>
            <w:tcW w:type="dxa" w:w="34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19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2005;</w:t>
            </w:r>
          </w:p>
        </w:tc>
        <w:tc>
          <w:tcPr>
            <w:tcW w:type="dxa" w:w="2262"/>
            <w:vMerge/>
            <w:tcBorders/>
          </w:tcPr>
          <w:p/>
        </w:tc>
      </w:tr>
      <w:tr>
        <w:trPr>
          <w:trHeight w:hRule="exact" w:val="394"/>
        </w:trPr>
        <w:tc>
          <w:tcPr>
            <w:tcW w:type="dxa" w:w="6004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6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Macfadyen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et al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., 2005).</w:t>
            </w:r>
          </w:p>
        </w:tc>
        <w:tc>
          <w:tcPr>
            <w:tcW w:type="dxa" w:w="2262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14" w:lineRule="exact" w:before="0" w:after="242"/>
        <w:ind w:left="0" w:right="0"/>
      </w:pPr>
    </w:p>
    <w:p>
      <w:pPr>
        <w:sectPr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Asia, millions of people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involved in a wide range of fishery-</w:t>
      </w: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2" w:equalWidth="0"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54" w:lineRule="auto" w:before="0" w:after="292"/>
        <w:ind w:left="120" w:right="288" w:firstLine="0"/>
        <w:jc w:val="left"/>
      </w:pPr>
      <w:r>
        <w:rPr>
          <w:rFonts w:ascii="GillSansMT" w:hAnsi="GillSansMT" w:eastAsia="GillSansMT"/>
          <w:b/>
          <w:i w:val="0"/>
          <w:color w:val="A9A9A9"/>
          <w:sz w:val="20"/>
        </w:rPr>
        <w:t xml:space="preserve">Clown Anemonefish </w:t>
      </w:r>
      <w:r>
        <w:rPr>
          <w:rFonts w:ascii="GillSansMT" w:hAnsi="GillSansMT" w:eastAsia="GillSansMT"/>
          <w:b/>
          <w:i/>
          <w:color w:val="A9A9A9"/>
          <w:sz w:val="20"/>
        </w:rPr>
        <w:t>Amphiprion ocellaris,</w:t>
      </w:r>
      <w:r>
        <w:rPr>
          <w:rFonts w:ascii="GillSansMT" w:hAnsi="GillSansMT" w:eastAsia="GillSansMT"/>
          <w:b/>
          <w:i w:val="0"/>
          <w:color w:val="A9A9A9"/>
          <w:sz w:val="20"/>
        </w:rPr>
        <w:t xml:space="preserve"> Papua New </w:t>
      </w:r>
      <w:r>
        <w:rPr>
          <w:rFonts w:ascii="GillSansMT" w:hAnsi="GillSansMT" w:eastAsia="GillSansMT"/>
          <w:b/>
          <w:i w:val="0"/>
          <w:color w:val="A9A9A9"/>
          <w:sz w:val="20"/>
        </w:rPr>
        <w:t>Guinea</w:t>
      </w:r>
    </w:p>
    <w:p>
      <w:pPr>
        <w:sectPr>
          <w:type w:val="nextColumn"/>
          <w:pgSz w:w="11713" w:h="16791"/>
          <w:pgMar w:top="684" w:right="1248" w:bottom="290" w:left="1416" w:header="720" w:footer="720" w:gutter="0"/>
          <w:cols w:space="720" w:num="2" w:equalWidth="0"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4" w:lineRule="exact" w:before="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related activities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3: Box 3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), from full-time, small-scale operators to those involved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seasonal and migratory positions in the processing and marketing industries (Gonzales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2006).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Much of the fisheries trade in this region is based on products from reefs, a key resource for poor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communities (Whittingham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2003).  Coastal fishery stocks in Asia are considered to have declined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by as much as 40% since the end of the 1990s (Gonzales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2006)</w:t>
      </w:r>
      <w:r>
        <w:rPr>
          <w:rFonts w:ascii="TimesNewRomanPSMT" w:hAnsi="TimesNewRomanPSMT" w:eastAsia="TimesNewRomanPSMT"/>
          <w:b w:val="0"/>
          <w:i w:val="0"/>
          <w:color w:val="101010"/>
          <w:sz w:val="22"/>
        </w:rPr>
        <w:t>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case study focuses on three groups or taxa—ornamental fish and invertebrates, seahorses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Humphead Wrasse.  These are small components of the global fish trade but are of interest because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relatively high value on the export market, which means that they could potentially bring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increased economic benefits to the coastal communities involved in their collection without necessarily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impacting local food security.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83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61</w:t>
      </w:r>
    </w:p>
    <w:p>
      <w:pPr>
        <w:sectPr>
          <w:type w:val="continuous"/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50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901700</wp:posOffset>
            </wp:positionV>
            <wp:extent cx="5753100" cy="6667500"/>
            <wp:wrapNone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6675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242" w:lineRule="auto" w:before="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3: Box 1</w:t>
      </w:r>
    </w:p>
    <w:p>
      <w:pPr>
        <w:autoSpaceDN w:val="0"/>
        <w:autoSpaceDE w:val="0"/>
        <w:widowControl/>
        <w:spacing w:line="242" w:lineRule="auto" w:before="36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The diversity of the Asian fisheries trade</w:t>
      </w:r>
    </w:p>
    <w:p>
      <w:pPr>
        <w:autoSpaceDN w:val="0"/>
        <w:autoSpaceDE w:val="0"/>
        <w:widowControl/>
        <w:spacing w:line="269" w:lineRule="auto" w:before="368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 vast range of species and types of product, live or dead, are involved in the Asian fisheries trade. They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can be broadly categorized as follows:</w:t>
      </w:r>
    </w:p>
    <w:p>
      <w:pPr>
        <w:autoSpaceDN w:val="0"/>
        <w:tabs>
          <w:tab w:pos="358" w:val="left"/>
        </w:tabs>
        <w:autoSpaceDE w:val="0"/>
        <w:widowControl/>
        <w:spacing w:line="278" w:lineRule="auto" w:before="356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1"/>
        </w:rPr>
        <w:t>Seafood: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Fresh fish; especially reef fish—harvested at market size or as juveniles for grow-out (Sadovy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.,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2003).</w:t>
      </w:r>
    </w:p>
    <w:p>
      <w:pPr>
        <w:autoSpaceDN w:val="0"/>
        <w:tabs>
          <w:tab w:pos="358" w:val="left"/>
        </w:tabs>
        <w:autoSpaceDE w:val="0"/>
        <w:widowControl/>
        <w:spacing w:line="269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Fresh invertebrates for local sale and export including octopus, squid, shrimp, crabs, lobsters, abalone,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giant clams and many other molluscs.</w:t>
      </w:r>
    </w:p>
    <w:p>
      <w:pPr>
        <w:autoSpaceDN w:val="0"/>
        <w:autoSpaceDE w:val="0"/>
        <w:widowControl/>
        <w:spacing w:line="269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Dried fish and invertebrates; a vast number of species and products involved; traded between coastal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communities and with inland communities where it is an important source of protein.</w:t>
      </w:r>
    </w:p>
    <w:p>
      <w:pPr>
        <w:autoSpaceDN w:val="0"/>
        <w:tabs>
          <w:tab w:pos="358" w:val="left"/>
        </w:tabs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Live fish for Asian restaurants (Sadovy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al.,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2003).</w:t>
      </w:r>
    </w:p>
    <w:p>
      <w:pPr>
        <w:autoSpaceDN w:val="0"/>
        <w:tabs>
          <w:tab w:pos="358" w:val="left"/>
        </w:tabs>
        <w:autoSpaceDE w:val="0"/>
        <w:widowControl/>
        <w:spacing w:line="278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Sea cucumbers; about 300 species involved; usually dried for sale and exported to countries in Asia;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their easy collection in shallow areas has led to widespread decline, as well as dependence by local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communities on collecting as a source of income (Clarke, 2002; Bruckner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 2003).</w:t>
      </w:r>
    </w:p>
    <w:p>
      <w:pPr>
        <w:autoSpaceDN w:val="0"/>
        <w:tabs>
          <w:tab w:pos="358" w:val="left"/>
        </w:tabs>
        <w:autoSpaceDE w:val="0"/>
        <w:widowControl/>
        <w:spacing w:line="278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Shark fins: dried and used for shark-fin soup and other “celebratory” dishes in East Asia, prices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reaching as high as USD400/kg; some 30–40 species are exploited from over 120 countries; harvesting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is a major contributor to the decline of many shark species worldwide (Clarke, 2002).</w:t>
      </w:r>
    </w:p>
    <w:p>
      <w:pPr>
        <w:autoSpaceDN w:val="0"/>
        <w:tabs>
          <w:tab w:pos="358" w:val="left"/>
        </w:tabs>
        <w:autoSpaceDE w:val="0"/>
        <w:widowControl/>
        <w:spacing w:line="278" w:lineRule="auto" w:before="356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1"/>
        </w:rPr>
        <w:t>Ornamental products: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Corals and shells for the curio trade; 70–90% of corals in international trade originate from Indonesia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(Wabnitz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 2003).</w:t>
      </w:r>
    </w:p>
    <w:p>
      <w:pPr>
        <w:autoSpaceDN w:val="0"/>
        <w:tabs>
          <w:tab w:pos="358" w:val="left"/>
        </w:tabs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Pearl oysters; for pearls and nacre.</w:t>
      </w:r>
    </w:p>
    <w:p>
      <w:pPr>
        <w:autoSpaceDN w:val="0"/>
        <w:tabs>
          <w:tab w:pos="358" w:val="left"/>
        </w:tabs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Fish and invertebrates for the aquarium trade.</w:t>
      </w:r>
    </w:p>
    <w:p>
      <w:pPr>
        <w:autoSpaceDN w:val="0"/>
        <w:tabs>
          <w:tab w:pos="358" w:val="left"/>
        </w:tabs>
        <w:autoSpaceDE w:val="0"/>
        <w:widowControl/>
        <w:spacing w:line="269" w:lineRule="auto" w:before="356" w:after="0"/>
        <w:ind w:left="70" w:right="1872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1"/>
        </w:rPr>
        <w:t>Other products:</w:t>
      </w:r>
      <w:r>
        <w:br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Seaweeds: cultivated in large quantities in South-east Asia for the agar industry.</w:t>
      </w:r>
    </w:p>
    <w:p>
      <w:pPr>
        <w:autoSpaceDN w:val="0"/>
        <w:tabs>
          <w:tab w:pos="358" w:val="left"/>
        </w:tabs>
        <w:autoSpaceDE w:val="0"/>
        <w:widowControl/>
        <w:spacing w:line="269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Seahorses and invertebrates for traditional medicines and pharmaceuticals; includes pipefish (Martin-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Smith and Vincent, 2006) and seamoths (Pajaro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 2004).</w:t>
      </w:r>
    </w:p>
    <w:p>
      <w:pPr>
        <w:autoSpaceDN w:val="0"/>
        <w:tabs>
          <w:tab w:pos="358" w:val="left"/>
        </w:tabs>
        <w:autoSpaceDE w:val="0"/>
        <w:widowControl/>
        <w:spacing w:line="269" w:lineRule="auto" w:before="56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>•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“Trash” fish and invertebrates; inedible small species sold for feeding to edible fish and invertebrates,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e.g. lobsters and live reef fish, for “grow-out”.</w:t>
      </w:r>
    </w:p>
    <w:p>
      <w:pPr>
        <w:autoSpaceDN w:val="0"/>
        <w:autoSpaceDE w:val="0"/>
        <w:widowControl/>
        <w:spacing w:line="245" w:lineRule="auto" w:before="52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Ornamental fish and invertebrates for the marine aquarium </w:t>
      </w:r>
      <w:r>
        <w:rPr>
          <w:rFonts w:ascii="GillSansMT" w:hAnsi="GillSansMT" w:eastAsia="GillSansMT"/>
          <w:b/>
          <w:i w:val="0"/>
          <w:color w:val="000000"/>
          <w:sz w:val="28"/>
        </w:rPr>
        <w:t>trade</w:t>
      </w:r>
    </w:p>
    <w:p>
      <w:pPr>
        <w:autoSpaceDN w:val="0"/>
        <w:autoSpaceDE w:val="0"/>
        <w:widowControl/>
        <w:spacing w:line="240" w:lineRule="auto" w:before="352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Nature and scale of the trade</w:t>
      </w:r>
    </w:p>
    <w:p>
      <w:pPr>
        <w:autoSpaceDN w:val="0"/>
        <w:autoSpaceDE w:val="0"/>
        <w:widowControl/>
        <w:spacing w:line="320" w:lineRule="exact" w:before="328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 estimated 1.5–2 million people worldwide have marine aquaria, mainly in USA and Europe,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increasingly in Asia itself (Wabnitz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2003; 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2005).  Over 20 million fish, of some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1470 species, 9–10 million marine ornamental invertebrates (excluding coral) of some 500 species,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62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722" w:right="1248" w:bottom="290" w:left="1416" w:header="720" w:footer="720" w:gutter="0"/>
          <w:cols w:space="720" w:num="1" w:equalWidth="0"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3107690</wp:posOffset>
            </wp:positionH>
            <wp:positionV relativeFrom="page">
              <wp:posOffset>2984500</wp:posOffset>
            </wp:positionV>
            <wp:extent cx="3362960" cy="4543169"/>
            <wp:wrapNone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454316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3098800</wp:posOffset>
            </wp:positionH>
            <wp:positionV relativeFrom="page">
              <wp:posOffset>2971800</wp:posOffset>
            </wp:positionV>
            <wp:extent cx="3378200" cy="4572000"/>
            <wp:wrapNone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4572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0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including molluscs, shrimps and anemones, 140 stony coral and 61 soft coral species are involved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aquarium trade each year.  Estimates of the value of the trade vary, but it may be as high as USD330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million a year (Wabnitz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2003). </w:t>
      </w:r>
    </w:p>
    <w:p>
      <w:pPr>
        <w:autoSpaceDN w:val="0"/>
        <w:autoSpaceDE w:val="0"/>
        <w:widowControl/>
        <w:spacing w:line="320" w:lineRule="exact" w:before="320" w:after="288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Unlike freshwater aquaria species, 90% of which are farmed, the majority of marine ornamental species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taken from the wild, largely from coral reefs.  South-east Asia is the main source, with Indonesia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the Philippines the two largest exporters, accounting for 80% of the trade (Wabnitz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2003).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With the rapidly expanding hobby trade in both the Philippines and Indonesia, there is also now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substantial domestic trade in these countries (MAMTI, 2006).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262"/>
        <w:gridCol w:w="2262"/>
        <w:gridCol w:w="2262"/>
        <w:gridCol w:w="2262"/>
      </w:tblGrid>
      <w:tr>
        <w:trPr>
          <w:trHeight w:hRule="exact" w:val="366"/>
        </w:trPr>
        <w:tc>
          <w:tcPr>
            <w:tcW w:type="dxa" w:w="5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60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The </w:t>
            </w:r>
          </w:p>
        </w:tc>
        <w:tc>
          <w:tcPr>
            <w:tcW w:type="dxa" w:w="9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6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marine </w:t>
            </w:r>
          </w:p>
        </w:tc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60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ornamental </w:t>
            </w:r>
          </w:p>
        </w:tc>
        <w:tc>
          <w:tcPr>
            <w:tcW w:type="dxa" w:w="34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60" w:after="0"/>
              <w:ind w:left="112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trade</w:t>
            </w:r>
          </w:p>
        </w:tc>
      </w:tr>
    </w:tbl>
    <w:p>
      <w:pPr>
        <w:autoSpaceDN w:val="0"/>
        <w:autoSpaceDE w:val="0"/>
        <w:widowControl/>
        <w:spacing w:line="320" w:lineRule="exact" w:before="0" w:after="12"/>
        <w:ind w:left="0" w:right="5794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provides income for poor people in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coastal communities where few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other livelihood options exist and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where there is dwindling production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capture fisheries.  The industry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involves a range of different groups,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including the collectors who use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boats or swim, women and children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who glean on shallow reefs, packers,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cleaners and others who work in the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processing and exporting companies,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many of whom get most of their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yearly income from the business.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Some work part time and have other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jobs; others are solely dependent on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524"/>
        <w:gridCol w:w="4524"/>
      </w:tblGrid>
      <w:tr>
        <w:trPr>
          <w:trHeight w:hRule="exact" w:val="2208"/>
        </w:trPr>
        <w:tc>
          <w:tcPr>
            <w:tcW w:type="dxa" w:w="60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0" w:after="0"/>
              <w:ind w:left="0" w:right="2750" w:firstLine="0"/>
              <w:jc w:val="both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the trade, while some are children.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Compared to many other forms of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fishing, the equipment and skills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needed are simple, especially for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shallow-water species (e.g. Banggai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Cardinal Fish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Pterapogon kauderni 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and clownfishes and anemonefishes</w:t>
            </w:r>
          </w:p>
        </w:tc>
        <w:tc>
          <w:tcPr>
            <w:tcW w:type="dxa" w:w="3000"/>
            <w:tcBorders/>
            <w:tcMar>
              <w:start w:w="0" w:type="dxa"/>
              <w:end w:w="0" w:type="dxa"/>
            </w:tcMar>
            <w:textDirection w:val="btLr"/>
          </w:tcPr>
          <w:p>
            <w:pPr>
              <w:autoSpaceDN w:val="0"/>
              <w:autoSpaceDE w:val="0"/>
              <w:widowControl/>
              <w:spacing w:line="188" w:lineRule="exact" w:before="2786" w:after="0"/>
              <w:ind w:left="46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14"/>
              </w:rPr>
              <w:t>Credit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14"/>
              </w:rPr>
              <w:t xml:space="preserve">:Cat Holloway/WWF-Canon </w:t>
            </w:r>
          </w:p>
        </w:tc>
      </w:tr>
    </w:tbl>
    <w:p>
      <w:pPr>
        <w:autoSpaceDN w:val="0"/>
        <w:autoSpaceDE w:val="0"/>
        <w:widowControl/>
        <w:spacing w:line="14" w:lineRule="exact" w:before="0" w:after="26"/>
        <w:ind w:left="0" w:right="0"/>
      </w:pP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2" w:lineRule="exact" w:before="0" w:after="0"/>
        <w:ind w:left="0" w:right="1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Amphiprioninae) and the low prices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paid per fish mean that generally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other fishers do not try to compete.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2" w:equalWidth="0"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40" w:lineRule="auto" w:before="0" w:after="1014"/>
        <w:ind w:left="120" w:right="0" w:firstLine="0"/>
        <w:jc w:val="left"/>
      </w:pPr>
      <w:r>
        <w:rPr>
          <w:rFonts w:ascii="GillSansMT" w:hAnsi="GillSansMT" w:eastAsia="GillSansMT"/>
          <w:b/>
          <w:i w:val="0"/>
          <w:color w:val="A9A9A9"/>
          <w:sz w:val="20"/>
        </w:rPr>
        <w:t xml:space="preserve">Tomato Anemonefish </w:t>
      </w:r>
      <w:r>
        <w:rPr>
          <w:rFonts w:ascii="GillSansMT" w:hAnsi="GillSansMT" w:eastAsia="GillSansMT"/>
          <w:b/>
          <w:i/>
          <w:color w:val="A9A9A9"/>
          <w:sz w:val="20"/>
        </w:rPr>
        <w:t>Amphiprion frenatus</w:t>
      </w:r>
      <w:r>
        <w:rPr>
          <w:rFonts w:ascii="GillSansMT" w:hAnsi="GillSansMT" w:eastAsia="GillSansMT"/>
          <w:b/>
          <w:i w:val="0"/>
          <w:color w:val="A9A9A9"/>
          <w:sz w:val="20"/>
        </w:rPr>
        <w:t>, Fiji</w:t>
      </w:r>
    </w:p>
    <w:p>
      <w:pPr>
        <w:sectPr>
          <w:type w:val="nextColumn"/>
          <w:pgSz w:w="11713" w:h="16791"/>
          <w:pgMar w:top="678" w:right="1248" w:bottom="290" w:left="1416" w:header="720" w:footer="720" w:gutter="0"/>
          <w:cols w:space="720" w:num="2" w:equalWidth="0"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14" w:lineRule="exact" w:before="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supply chain is complex and involves large numbers of people with collectors spread over wide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areas, hundreds of middlemen and numerous exporting companies.  The Philippines, for example, has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 estimated 5000–7000 aquarium fish collectors with a further 3000–4000 people involved as traders,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working in holding facilities and so on.  Indonesia has an estimated 10 000 collectors, with numerous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other people involved in the trade (MAC and ReefCheck, 2006; MAMTI, 2006).  Collectors use basic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63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equipment such as “tickler sticks”, hand nets and barrier nets, although more sophisticated scuba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equipment is increasingly being used.  Many use cyanide to stun the organisms before collection.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Collecting trips may be self-financed or funded by wholesalers and exporters, with advanced expenses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deducted from the income from their catch after each diving operation.  Once ashore, species are placed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holding tanks, or immediately packaged for transport and/or export.  From large numbers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producers, exports tend to be channelled through a relatively small number of exporters (Macfadyen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2005).  There are about 30 export companies in the Philippines, while in Indonesia there are over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100 registered exporters mainly located in Jakarta and Bali (Lilley, 2001).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Aquarium fish collectors are usually paid according to the number of fish they collect (Macfadyen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2005), receiving highest prices for rare species with attractive or unusual colours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appearances—most specimens collected are juveniles as these are easier and cheaper to transport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most are more attractive visually than the adults (MAMTI, 2006).  As with many trade chains, however,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collectors tend to secure a very small proportion of the sale price.  In the late 1990s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Philippines, for example, 85% of the price paid for fish by exporters went to middlemen whereas only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15% went to collectors (Rubec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2000).  In addition, a cycle of debt often develops with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middlemen providing food, boats, fuel and sometimes cyanide to fishers in return for inexpensive fish.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Poverty and lack of alternative livelihood options means that people borrow money at high rates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often illiterate subsistence fishers make financial decisions that bind them to selling at low prices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middlemen (Shuman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Despite this, earnings can be substantial—Gonzales and Savaris (2005) found that collectors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Philippines might earn between USD9 and USD233 a month, compared with other fishers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(USD36–144 a month), shell gleaners (USD2.7–4.5) and seafood vendors (USD43–50 a month). 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there is such disparity in the amounts earned at different stages of the supply chain, each level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seems to operate on relatively fixed margins from their respective suppliers one step back down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chain.  Middlemen and women provide important services, such as credit and some limited market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information.  Shipping costs and the equipment and infrastructure needed to maintain healthy live fish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substantial and so the price structure may not be as intrinsically “anti-poor” as it appears.  It does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mean, however, that if the sale price could be increased (e.g. through certification and improved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quality) and costs and/or mortalities reduced, additional benefits could be generated throughout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supply chain (Macfadyen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2005).</w:t>
      </w:r>
    </w:p>
    <w:p>
      <w:pPr>
        <w:autoSpaceDN w:val="0"/>
        <w:autoSpaceDE w:val="0"/>
        <w:widowControl/>
        <w:spacing w:line="240" w:lineRule="auto" w:before="356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Management of the trade</w:t>
      </w:r>
    </w:p>
    <w:p>
      <w:pPr>
        <w:autoSpaceDN w:val="0"/>
        <w:autoSpaceDE w:val="0"/>
        <w:widowControl/>
        <w:spacing w:line="320" w:lineRule="exact" w:before="32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most countries, collection of specimens for the aquarium trade is unregulated.  International trade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also unregulated except for those few taxa covered by CITES (mainly corals, seahorses and giant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clams).  Few fish or invertebrate species are listed, partly because of the difficulty in obtaining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necessary data to determine if populations meet the required criteria for the various Appendices,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partly because of perspectives on the “endless” fish supply of the sea.  In Indonesia, there is some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regulation through a trade association: only members of the national coral exporters association AKKII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may legally export live corals (Macfadyen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2005).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64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2146300</wp:posOffset>
            </wp:positionV>
            <wp:extent cx="5753100" cy="3975100"/>
            <wp:wrapNone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97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8" w:lineRule="exact" w:before="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the Philippines and Indonesia, however, a major programme—The Marine Aquarium Management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Transformation Initiative (MAMTI: funded by USAID, a joint initiative between MAC, ReefCheck,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the Community Conservation Investment Forum (CCFI))—was initiated to promote sustainable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 of the trade and minimize its ecological impact, using a certification scheme (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Case study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3: Box 2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</w:t>
      </w:r>
    </w:p>
    <w:p>
      <w:pPr>
        <w:autoSpaceDN w:val="0"/>
        <w:autoSpaceDE w:val="0"/>
        <w:widowControl/>
        <w:spacing w:line="242" w:lineRule="auto" w:before="454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3: Box 2</w:t>
      </w:r>
    </w:p>
    <w:p>
      <w:pPr>
        <w:autoSpaceDN w:val="0"/>
        <w:autoSpaceDE w:val="0"/>
        <w:widowControl/>
        <w:spacing w:line="242" w:lineRule="auto" w:before="36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MAC (Marine Aquarium Council) certification standards</w:t>
      </w:r>
    </w:p>
    <w:p>
      <w:pPr>
        <w:autoSpaceDN w:val="0"/>
        <w:tabs>
          <w:tab w:pos="6092" w:val="left"/>
          <w:tab w:pos="7350" w:val="left"/>
        </w:tabs>
        <w:autoSpaceDE w:val="0"/>
        <w:widowControl/>
        <w:spacing w:line="288" w:lineRule="auto" w:before="368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There are four different standards in the MAC certification programme addressing (1) management of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collection area, (2) collection and handling prior to export, (3) handling and transport during export,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and (4) aquaculture. All aspects of the supply chain are covered.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Of most relevance here are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Ecosystem and Fishery Management (EFM) and Collection, Fishing and Handling (CFH) standards.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EFM standard requires that the collection area be defined, a Collection Area Management Plan (CAMP)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be drafted by a multi-stakeholder committee and adopted, a Total Allowable Catch (TAC) agreed and the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No-take areas are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harvest monitored, and that reef health and fish stocks be monitored regularly.</w:t>
      </w:r>
    </w:p>
    <w:p>
      <w:pPr>
        <w:autoSpaceDN w:val="0"/>
        <w:autoSpaceDE w:val="0"/>
        <w:widowControl/>
        <w:spacing w:line="281" w:lineRule="auto" w:before="56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identified adjacent to the collection areas and, in some cases, rehabilitation and restoration of reefs is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undertaken (MAMTI and MAC 2007). This standard has proved difficult to implement because of the lack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of scientific knowledge about the reproductive biology and life history characteristics of most target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species (Shuman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 2004).</w:t>
      </w:r>
    </w:p>
    <w:p>
      <w:pPr>
        <w:autoSpaceDN w:val="0"/>
        <w:autoSpaceDE w:val="0"/>
        <w:widowControl/>
        <w:spacing w:line="281" w:lineRule="auto" w:before="356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standards require that collectors be trained, that they use non-destructive techniques, comply with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local laws and maintain catch records, and that best practices be used during post-harvest handling. A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total of 483 collectors and traders have been trained for EFM and CFH standards and 167 in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Philippines and 145 in Indonesia have been certified to these standards (MAMTI and MAC, 2007).</w:t>
      </w:r>
    </w:p>
    <w:p>
      <w:pPr>
        <w:autoSpaceDN w:val="0"/>
        <w:autoSpaceDE w:val="0"/>
        <w:widowControl/>
        <w:spacing w:line="320" w:lineRule="exact" w:before="86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serious problem associated with the aquarium fish trade is the use of sodium cyanide—a practice that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now banned throughout Asia.  Cyanide temporarily stuns the fish but also causes broad-spectrum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damage to other organisms on the reef and is considered to be a major threat to reefs across the Indo-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Pacific and especially South-east Asia.  Enforcement of the ban has proved difficult because cyanide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easy to obtain, inexpensive and makes fish catching easier (Wood, 2001).  The MAC certification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process is helping to reduce its use which is not only benefiting local fishers, as noted above, but also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having a positive ecological effect.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addition, in the Philippines, the certification process is bringing the “best practices” developed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aquarium trade into broader Fisheries Management Plans and has led to strengthening of seven no-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take Marine Protected Areas (MPAs).  By closely linking no-take areas with aquarium fish collection,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is improved willingness in local communities to support and manage the MPAs (Shuman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2004; MAMTI and MAC, 2007).  The certification process also generates an immense amount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information that can be used to improve management in general (Macfadyen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, 2005).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65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8"/>
        <w:ind w:left="0" w:right="0"/>
      </w:pPr>
    </w:p>
    <w:p>
      <w:pPr>
        <w:autoSpaceDN w:val="0"/>
        <w:autoSpaceDE w:val="0"/>
        <w:widowControl/>
        <w:spacing w:line="242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Impacts of trade management</w:t>
      </w:r>
    </w:p>
    <w:p>
      <w:pPr>
        <w:autoSpaceDN w:val="0"/>
        <w:autoSpaceDE w:val="0"/>
        <w:widowControl/>
        <w:spacing w:line="320" w:lineRule="exact" w:before="32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At present, there is little evidence of a real increase in prices of fish as a result of MAC certification.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are anecdotal reports that in the Philippines the introduction of better management practices has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seen benefits at Batasan Island in the form of better pricing and better income for collectors, owing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reduced mortality rates (Macfadyen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2005).  However MAC personnel state that, so far, MAC-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certified species have not resulted in higher prices for collectors in the Philippines (Ronet Santos,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MAC,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 litt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16 October 2007).  In Indonesia, collectors and local traders in Pulau Seribu (Jakarta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Bay) have reported that they are paid more for MAC-certified fish and that their income has increased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by USD3–5 a day.  They also say that some species that had previously declined or disappeared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now more abundant; although it is not clear if this is linked to MAC activities, it is a positive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development (G. Lilley, MAC,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 litt.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15 October 2007).  There is a risk that, if certification does result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higher prices, it will become more attractive and more fishers will be enticed into the business.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Regulating collecting effort by restricting the number of collectors is one way to avoid this problem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(Wood 2001).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are a number of other benefits from the MAC certification procedure that are already being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realized.  Many collectors suffer from poor health caused by the long hours spent under water at depth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the poor quality of compressed air.  The MAC certification process is promoting free diving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helping to eliminate or reduce the use of compressors and, at a minimum, improving the way they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used to reduce injury (Macfadyen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2005).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Through the MAMTI project, collectors and communities are also receiving financial and business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training and have improved their community organization skills, household and business financial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 and ability to manage savings and loans.  The project has developed links with micro-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finance institutions and other businesses that can support collectors and traders.  As a result, over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USD13 000 has been accessed as loans by those in the lower levels of the supply chain, to buy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equipment and materials (e.g. collecting nets, jars, holding tanks).  The loans have seen 100%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repayment in the Philippines and 86% in Indonesia (MAMTI and MAC, 2007).  The MAMTI project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also specifically addressing women and ensuring that they can participate in the industry and benefit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it.  Collectors are also increasingly involved in broader coastal resource management efforts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communities, which will help to sustain the fishery.  Exporters are now reporting that the quality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of MAC-certified fish has improved (MAMTI and MAC, 2007).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One major problem, however, is that in both Indonesia and the Philippines the majority (an estimated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50–80%) of collectors are “roving”, i.e. they harvest in areas where they are not legal residents. 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ethnic groups such as the Bajao or “sea gypsies”, who traditionally live at sea and depend on marine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resources for their survival.  The extent of this has only been discovered recently (MAMTI, 2006).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Although these collectors may be harvesting legally, their roving lifestyle makes it difficult to develop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Collection Area Management Plans, and thus at present they cannot be certified under the EFM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standard.  Many use cyanide and diving equipment such as compressors and the quality of their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specimens is poor: they receive low prices for them and have a rejection rate of 20–30%, compared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46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66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8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4" w:lineRule="exact" w:before="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with 6–19% for MAC-certified collectors.  If trained, roving collectors could be certified under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CFH standard.  There is also potential for using the EFM standard for collecting “corridors” or a series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collection areas (MAMTI, 2006).  It is clearly important that this group of collectors is incorporated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into sustainable management programmes and MAC will start to address this issue.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Seahorses</w:t>
      </w:r>
    </w:p>
    <w:p>
      <w:pPr>
        <w:autoSpaceDN w:val="0"/>
        <w:autoSpaceDE w:val="0"/>
        <w:widowControl/>
        <w:spacing w:line="240" w:lineRule="auto" w:before="370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2"/>
        </w:rPr>
        <w:t xml:space="preserve">Nature and scale of the trade </w:t>
      </w:r>
    </w:p>
    <w:p>
      <w:pPr>
        <w:autoSpaceDN w:val="0"/>
        <w:autoSpaceDE w:val="0"/>
        <w:widowControl/>
        <w:spacing w:line="320" w:lineRule="exact" w:before="33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Hippocampus spp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inhabit a circum-global band of tropical and temperate seas in sea grass,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mangroves and coral reefs, with a few species ranging into deeper waters (Foster and Vincent, 2005).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There are at least 33 species but the taxonomy is highly problematic and more will probably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described in the future (Lourie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2004).  At least 77 countries are involved in international trade.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main exporting nations are in Asia (India, the Philippines, Thailand and Viet Nam), as are the main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importers (China and Taiwan) (Foster, 2005). 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>Case Study 3: Box 3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summarizes the main products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purposes of the seahorse trade.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vast majority of the seahorse trade is international, but there is a small domestic trade in some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countries e.g. Viet Nam (Giles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2005) and Indonesia (Vincent, 1996) for traditional medicine. 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Australia, there is a low-volume domestic trade in live and dried seahorses estimated to be worth about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USD163 000 a year.  According to Hong Kong’s import statistics, Australia exported around USD27 000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worth of dried seahorses each year 1998–2002, most of which were derived from aquaculture rather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than targeted fisheries or by-catch (Martin-Smith and Vincent, 2006).  Annual seahorse exports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Viet Nam may be worth VND2–10 million (USD170 000–962 000) (Giles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2005).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some countries, catch rates from individual fishers and vessels are relatively low (e.g. around 1–2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seahorses per trawling vessel per night in Viet Nam, (Meeuwig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2006)), but the sale of seahorses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considered as a welcome bonus making a limited contribution to the annual incomes. 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Philippines, most people who target seahorses are subsistence fishers who derive their main cash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income from these species, allowing them to buy rice and other food (Vincent, 1997).  In Palawan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central Philippines, seahorse fishers and traders reported that seahorses contributed approximately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30–40% of their annual income—although sometimes this proportion reached 80%—and up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90–100% in the main seahorse fishing season.  Similar figures of reliance on seahorse fishing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trading were found in southern India and Indonesia (Vincent, 1996).  Equally, fishers and traders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trawl fisheries benefit from the sale of seahorses taken as by-catch e.g. in Viet Nam (Giles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2005).</w:t>
      </w:r>
    </w:p>
    <w:p>
      <w:pPr>
        <w:autoSpaceDN w:val="0"/>
        <w:autoSpaceDE w:val="0"/>
        <w:widowControl/>
        <w:spacing w:line="320" w:lineRule="exact" w:before="320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Reports from fishers and traders suggest that severe declines in seahorse populations have occurred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past few decades (Vincent, 1996) and in some areas, such as Latin America, declines are as high 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90% (Baum and Vincent, 2005).  There are also reports of a decline in the size of seahorses being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caught (Vincent, 1996).  Habitat degradation of coral reefs, seagrass meadows and mangroves, as well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fishing pressure, are likely to be contributing to these declines.  The damage caused by trawlers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shallow coastal habitat is a further concern for seahorse conservation (Lourie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2004).  Seven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67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1524000</wp:posOffset>
            </wp:positionV>
            <wp:extent cx="5753100" cy="6477000"/>
            <wp:wrapNone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477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 species are currently listed as Vulnerable, one as Endangered and the remaining as Data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Deficient in IUCN’s Red List (IUCN 2007).</w:t>
      </w:r>
    </w:p>
    <w:p>
      <w:pPr>
        <w:autoSpaceDN w:val="0"/>
        <w:autoSpaceDE w:val="0"/>
        <w:widowControl/>
        <w:spacing w:line="240" w:lineRule="auto" w:before="454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3: Box 3</w:t>
      </w:r>
    </w:p>
    <w:p>
      <w:pPr>
        <w:autoSpaceDN w:val="0"/>
        <w:autoSpaceDE w:val="0"/>
        <w:widowControl/>
        <w:spacing w:line="240" w:lineRule="auto" w:before="362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Different uses of seahorses in international trade</w:t>
      </w:r>
    </w:p>
    <w:p>
      <w:pPr>
        <w:autoSpaceDN w:val="0"/>
        <w:autoSpaceDE w:val="0"/>
        <w:widowControl/>
        <w:spacing w:line="286" w:lineRule="auto" w:before="37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1"/>
        </w:rPr>
        <w:t>U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SE</w:t>
      </w:r>
      <w:r>
        <w:rPr>
          <w:rFonts w:ascii="GillSansMT" w:hAnsi="GillSansMT" w:eastAsia="GillSansMT"/>
          <w:b/>
          <w:i w:val="0"/>
          <w:color w:val="000000"/>
          <w:sz w:val="21"/>
        </w:rPr>
        <w:t xml:space="preserve">: Traditional Chinese medicine (TCM) </w:t>
      </w:r>
      <w:r>
        <w:br/>
      </w:r>
      <w:r>
        <w:rPr>
          <w:rFonts w:ascii="GillSansMT" w:hAnsi="GillSansMT" w:eastAsia="GillSansMT"/>
          <w:b/>
          <w:i w:val="0"/>
          <w:color w:val="000000"/>
          <w:sz w:val="21"/>
        </w:rPr>
        <w:t>P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RODUCT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Dried seahorses </w:t>
      </w:r>
      <w:r>
        <w:br/>
      </w:r>
      <w:r>
        <w:rPr>
          <w:rFonts w:ascii="GillSansMT" w:hAnsi="GillSansMT" w:eastAsia="GillSansMT"/>
          <w:b/>
          <w:i w:val="0"/>
          <w:color w:val="000000"/>
          <w:sz w:val="21"/>
        </w:rPr>
        <w:t>S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CALE OF TRADE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TCM accounts for an estimated 90% of the overall trade in seahorses (Foster, 2005).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 the mid 1990s, at least 20 million seahorses were traded each year mainly for this purpose, with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demand increasing by around 10% per year (Vincent, 1996). Demand continues to outstrip supply by far,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driven partly by economic growth in China.</w:t>
      </w:r>
    </w:p>
    <w:p>
      <w:pPr>
        <w:autoSpaceDN w:val="0"/>
        <w:autoSpaceDE w:val="0"/>
        <w:widowControl/>
        <w:spacing w:line="286" w:lineRule="auto" w:before="56" w:after="0"/>
        <w:ind w:left="70" w:right="92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1"/>
        </w:rPr>
        <w:t>S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OURCE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Wild-caught. Some are taken in directed fisheries, usually involving hand-collection by divers,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e.g. in the Philippines (Martin-Smith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al.,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2004), Indonesia (Vincent, 1996) and Latin America (Baum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Vincent, 2005). Others are caught as by-catch in trawl fisheries (often shrimp fisheries) in the tropics, e.g.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 the Gulf of Mexico (Baum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., 2003), India (Salin and Yohannan, 2005) and Viet Nam (Meeuwig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.,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2006).</w:t>
      </w:r>
    </w:p>
    <w:p>
      <w:pPr>
        <w:autoSpaceDN w:val="0"/>
        <w:autoSpaceDE w:val="0"/>
        <w:widowControl/>
        <w:spacing w:line="281" w:lineRule="auto" w:before="356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1"/>
        </w:rPr>
        <w:t>U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SE</w:t>
      </w:r>
      <w:r>
        <w:rPr>
          <w:rFonts w:ascii="GillSansMT" w:hAnsi="GillSansMT" w:eastAsia="GillSansMT"/>
          <w:b/>
          <w:i w:val="0"/>
          <w:color w:val="000000"/>
          <w:sz w:val="21"/>
        </w:rPr>
        <w:t xml:space="preserve">: Curios </w:t>
      </w:r>
      <w:r>
        <w:br/>
      </w:r>
      <w:r>
        <w:rPr>
          <w:rFonts w:ascii="GillSansMT" w:hAnsi="GillSansMT" w:eastAsia="GillSansMT"/>
          <w:b/>
          <w:i w:val="0"/>
          <w:color w:val="000000"/>
          <w:sz w:val="21"/>
        </w:rPr>
        <w:t>P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RODUCT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Dead specimens </w:t>
      </w:r>
      <w:r>
        <w:br/>
      </w:r>
      <w:r>
        <w:rPr>
          <w:rFonts w:ascii="GillSansMT" w:hAnsi="GillSansMT" w:eastAsia="GillSansMT"/>
          <w:b/>
          <w:i w:val="0"/>
          <w:color w:val="000000"/>
          <w:sz w:val="21"/>
        </w:rPr>
        <w:t>S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CALE OF TRADE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Dead seahorses are sold as souvenirs in beach resorts and shell shops around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world.</w:t>
      </w:r>
    </w:p>
    <w:p>
      <w:pPr>
        <w:autoSpaceDN w:val="0"/>
        <w:autoSpaceDE w:val="0"/>
        <w:widowControl/>
        <w:spacing w:line="240" w:lineRule="auto" w:before="56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1"/>
        </w:rPr>
        <w:t>S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OURCE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As for TCM.</w:t>
      </w:r>
    </w:p>
    <w:p>
      <w:pPr>
        <w:autoSpaceDN w:val="0"/>
        <w:autoSpaceDE w:val="0"/>
        <w:widowControl/>
        <w:spacing w:line="286" w:lineRule="auto" w:before="356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1"/>
        </w:rPr>
        <w:t>U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SE</w:t>
      </w:r>
      <w:r>
        <w:rPr>
          <w:rFonts w:ascii="GillSansMT" w:hAnsi="GillSansMT" w:eastAsia="GillSansMT"/>
          <w:b/>
          <w:i w:val="0"/>
          <w:color w:val="000000"/>
          <w:sz w:val="21"/>
        </w:rPr>
        <w:t xml:space="preserve">: Ornamentals </w:t>
      </w:r>
      <w:r>
        <w:br/>
      </w:r>
      <w:r>
        <w:rPr>
          <w:rFonts w:ascii="GillSansMT" w:hAnsi="GillSansMT" w:eastAsia="GillSansMT"/>
          <w:b/>
          <w:i w:val="0"/>
          <w:color w:val="000000"/>
          <w:sz w:val="21"/>
        </w:rPr>
        <w:t>P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RODUCT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Live specimens </w:t>
      </w:r>
      <w:r>
        <w:br/>
      </w:r>
      <w:r>
        <w:rPr>
          <w:rFonts w:ascii="GillSansMT" w:hAnsi="GillSansMT" w:eastAsia="GillSansMT"/>
          <w:b/>
          <w:i w:val="0"/>
          <w:color w:val="000000"/>
          <w:sz w:val="21"/>
        </w:rPr>
        <w:t>S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CALE OF TRADE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North America and Europe are the main markets for live seahorses for public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private aquaria; an estimated 50 000 live, captive-bred seahorses and approximately one million live, wild-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caught seahorses are traded each year (Dennis, 2006), most exports coming from Indonesia and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Philippines as part of the wider marine aquarium trade</w:t>
      </w:r>
      <w:r>
        <w:rPr>
          <w:rFonts w:ascii="GillSansMT" w:hAnsi="GillSansMT" w:eastAsia="GillSansMT"/>
          <w:b w:val="0"/>
          <w:i/>
          <w:color w:val="000000"/>
          <w:sz w:val="21"/>
        </w:rPr>
        <w:t>.</w:t>
      </w:r>
    </w:p>
    <w:p>
      <w:pPr>
        <w:autoSpaceDN w:val="0"/>
        <w:autoSpaceDE w:val="0"/>
        <w:widowControl/>
        <w:spacing w:line="286" w:lineRule="auto" w:before="56" w:after="0"/>
        <w:ind w:left="70" w:right="90" w:firstLine="0"/>
        <w:jc w:val="both"/>
      </w:pPr>
      <w:r>
        <w:rPr>
          <w:rFonts w:ascii="GillSansMT" w:hAnsi="GillSansMT" w:eastAsia="GillSansMT"/>
          <w:b/>
          <w:i w:val="0"/>
          <w:color w:val="000000"/>
          <w:sz w:val="21"/>
        </w:rPr>
        <w:t>S</w:t>
      </w:r>
      <w:r>
        <w:rPr>
          <w:w w:val="98.4375"/>
          <w:rFonts w:ascii="GillSansMT" w:hAnsi="GillSansMT" w:eastAsia="GillSansMT"/>
          <w:b/>
          <w:i w:val="0"/>
          <w:color w:val="000000"/>
          <w:sz w:val="16"/>
        </w:rPr>
        <w:t>OURCE</w:t>
      </w:r>
      <w:r>
        <w:rPr>
          <w:rFonts w:ascii="GillSansMT" w:hAnsi="GillSansMT" w:eastAsia="GillSansMT"/>
          <w:b/>
          <w:i w:val="0"/>
          <w:color w:val="000000"/>
          <w:sz w:val="21"/>
        </w:rPr>
        <w:t>: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 Wild-caught and captive-bred. In Sri Lanka and Viet Nam pregnant males are captured and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young are then reared in captivity to marketable sizes (Vincent, 1996; Dennis, 2006). Public aquaria also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increasingly obtain seahorses from captive-breeding, often exchanging specimens between aquaria—e.g. a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recent survey of 21 North American public aquaria indicated that over 80% of seahorses were derived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from captive-bred sources (Koldewey, 2005).</w:t>
      </w:r>
    </w:p>
    <w:p>
      <w:pPr>
        <w:autoSpaceDN w:val="0"/>
        <w:autoSpaceDE w:val="0"/>
        <w:widowControl/>
        <w:spacing w:line="320" w:lineRule="exact" w:before="814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biology of seahorses renders them inherently vulnerable to heavy fishing pressure and habitat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degradation.  Males incubate relatively small clutches of eggs for prolonged periods, preventing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seahorses from rapidly recovering from over-exploitation (Foster and Vincent, 2005).  Furthermore,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seahorses live at naturally low densities and have small home ranges and low mobility, which limits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capacity to recolonise heavily fished areas (Vincent, 1996).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68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8"/>
        <w:ind w:left="0" w:right="0"/>
      </w:pPr>
    </w:p>
    <w:p>
      <w:pPr>
        <w:autoSpaceDN w:val="0"/>
        <w:autoSpaceDE w:val="0"/>
        <w:widowControl/>
        <w:spacing w:line="242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Management of the trade</w:t>
      </w:r>
    </w:p>
    <w:p>
      <w:pPr>
        <w:autoSpaceDN w:val="0"/>
        <w:autoSpaceDE w:val="0"/>
        <w:widowControl/>
        <w:spacing w:line="320" w:lineRule="exact" w:before="326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Recognizing that, although seahorses are vulnerable, populations could probably support a carefully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managed harvest, all seahorse species were listed in CITES Appendix II in 2004 (Koldewey, 2005). 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order for export permits to be issued, exporting nations that are Parties to CITES are required to make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non-detriment findings (NDFs), which demonstrate that export levels do not threaten the future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species in the wild.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At the local level, potential models for sustainable management of a seahorse fishery are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community-based MPAs work of which the first, initiated in the mid-nineties, was Handumon village,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off the northern coast of Bohol, central Philippines (Pajaro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1997).  Trading in dried seahorses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this area began in the 1960s and in live seahorses for the aquarium trade in the 1970s and a certain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degree of informal management had already evolved by the 1990s.  This included the rotation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harvesting areas and avoidance of smaller seahorses (although the minimum size of seahorses allowed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be caught had decreased over the years).  In 1995, at the suggestion of the village council, this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arrangement was formalized with the establishment of a 33-ha protected area, patrolled and maintained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by villagers (Vincent, 1997).  Small seahorses are donated by fishers to be released into the sanctuary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help populations recover (Pajaro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1997).  There are now 28 MPAs in place, which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contributing to protection of seahorses and sustainable livelihoods for local communities (Meeuwig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2003; Martin-Smith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2004; Samoilys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2007).  Wider benefits have also been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demonstrated with a higher abundance of other reef fish, both inside and outside the reserves (Samoilys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2007).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 increasing number of specimens are being obtained through captive breeding and the benefits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this management approach are being assessed by Project Seahorse (Koldewey,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 litt.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, 9 November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2007).  For example, a research programme is underway at the National Institute of Oceanography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Viet Nam to rear captive and semi-captive seahorses for sale to the aquarium trade.  The aim is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involve local farmers and fishermen, eventually, in establishing small-scale seahorse culturing in net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 cages placed in ponds and estuaries (Vincent, 1996; H. Scales, case study co-author, pers. comm.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2007). </w:t>
      </w:r>
    </w:p>
    <w:p>
      <w:pPr>
        <w:autoSpaceDN w:val="0"/>
        <w:autoSpaceDE w:val="0"/>
        <w:widowControl/>
        <w:spacing w:line="240" w:lineRule="auto" w:before="374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2"/>
        </w:rPr>
        <w:t>Impacts of trade management</w:t>
      </w:r>
    </w:p>
    <w:p>
      <w:pPr>
        <w:autoSpaceDN w:val="0"/>
        <w:autoSpaceDE w:val="0"/>
        <w:widowControl/>
        <w:spacing w:line="320" w:lineRule="exact" w:before="332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It is extremely challenging to make non-detriment findings for seahorses given the lack of knowledge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about the biology and population status of most species (Koldewey, 2005).  Consequently, as an interim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measure, CITES is allowing exports of specimens, both dead and alive, with a minimum size limit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10 cm, since this is the size at which most species involved in the trade have reached sexual maturity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(Foster and Vincent, 2005).  In the Philippines, however, CITES-listing has had the unintended impact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making seahorse fishing illegal as a result of existing domestic legislation; Section 97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Philippines 1998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Fisheries Code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prohibits the harvesting and export of any species listed under CITES.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Project Seahorse is working with seahorse fishing communities to study the implications of this ban,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also with the government to try and reverse it.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46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69</w:t>
      </w:r>
    </w:p>
    <w:p>
      <w:pPr>
        <w:sectPr>
          <w:pgSz w:w="11713" w:h="16791"/>
          <w:pgMar w:top="68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At present there is no information on the actual or potential livelihood benefits from a 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well-managed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 trade, given that management activities are relatively new.  Given the extent of the seahorse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 and the growing demand for, and rising prices of, dried seahorses, it is highly likely that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thousands of people will continue to be dependent on the trade for some part of their income.  Without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effective trade management, the reported declines described above are a potential threat to local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fishermen’s livelihoods and one which sustainable management could help to address. </w:t>
      </w:r>
    </w:p>
    <w:p>
      <w:pPr>
        <w:autoSpaceDN w:val="0"/>
        <w:autoSpaceDE w:val="0"/>
        <w:widowControl/>
        <w:spacing w:line="240" w:lineRule="auto" w:before="31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Humphead Wrasse</w:t>
      </w:r>
    </w:p>
    <w:p>
      <w:pPr>
        <w:autoSpaceDN w:val="0"/>
        <w:autoSpaceDE w:val="0"/>
        <w:widowControl/>
        <w:spacing w:line="240" w:lineRule="auto" w:before="352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Nature and scale of the trade</w:t>
      </w:r>
    </w:p>
    <w:p>
      <w:pPr>
        <w:autoSpaceDN w:val="0"/>
        <w:autoSpaceDE w:val="0"/>
        <w:widowControl/>
        <w:spacing w:line="320" w:lineRule="exact" w:before="326" w:after="0"/>
        <w:ind w:left="0" w:right="22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Humphead Wrasse, also known as the Maori Wrasse, Napoleon Wrasse or Napoleonfish, is one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largest bony reef fish in the Indo-Pacific region.  Large males can reach over two metres in length,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developing a prominent bump on their heads, and can live for at least 30 years.  Humphead Wrasse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 threatened species—listed as Endangered in the IUCN Red List (IUCN, 2007b)—and inherently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vulnerable to overfishing, since the fish grow slowly, are late to mature and are naturally uncommon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(Sadovy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2004).  They also spawn in small aggregations that may offer attractive targets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fishermen and can be easily depleted (Sadovy and Domeier, 2004).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Humphead Wrasse has become one of the most valuable species in the lucrative international trade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live reef food fish (LRFF), alongside other species of large-bodied coral reef fish, including groupers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Serranidae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spp., snappers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Lutjanidae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spp. and wrasses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Labridae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spp. (Sadovy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2004). 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flavour and texture of the fish are believed to be superior if they are kept alive until moments before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cooking (Lee and Sadovy, 1998).  Dining on freshly killed, colourful coral reef fish—a trend that began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the 1960s amongst wealthy Hong Kong businessmen—has become a prestigious and prodigious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activity in ethnic Chinese communities around the world, driving a trade thought to be worth in excess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 USD800 million per year (Johannes and Riepen, 1995; Sadovy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al.,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2004).  The most valuable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Humphead Wrasse are the smaller “plate-sized” juveniles and sub-adults, while larger fish may be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interest for display.  In particular, large, adult Humphead Wrasse are valued for banquets and special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occasions such as Chinese New Year.  The retail value of Humphead Wrasse in up-market seafood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restaurants can be as high as USD180 per kg and a plate of the lips of adult males sold for USD150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late 1990s (Lau and Parry-Jones, 1999).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All large Humphead Wrasse in trade are wild-caught.  Initially, these and other species involved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LRFF trade were caught from reefs close to Hong Kong—which remains the main hub of the trade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today.  As those stocks became over-exploited and the demand for live fish increased, the trade began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open up in countries further from Hong Kong and today it stretches thousands of kilometres across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Indo-Pacific region, with live fish being exported, often by air, from as far away as Fiji,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Maldives, the Solomon Islands and the US Marshall Islands (Smith, 1997; Bentley, 1999; Hughes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2003).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90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70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3873500</wp:posOffset>
            </wp:positionV>
            <wp:extent cx="5753100" cy="3581400"/>
            <wp:wrapNone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5814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6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Figures on the number of fishers involved in the LRFF trade are not available. Prior to the 1980s, LRFF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were mainly collected by large, foreign-owned, purpose-built transport vessels (mostly from Hong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Kong and China) employing foreign divers and fishers (Bentley, 1999).  Since the late 1980s and early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1990s, however, a range of locally owned, middle-level LRFF operations have emerged throughout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South-east Asian region, which either buy live fish from independent local fishers or employ local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fishers on larger, locally operated vessels.  In some areas, local fishers also sell catches directly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visiting foreign LRFF vessels, so that people who fished previously for subsistence purposes or to sell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local markets now participate.  It is likely, therefore, that significant numbers of people are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dependent to some extent on income from the trade.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At present, because of the increasing rarity of Humphead Wrasse in most parts of the Indo-Pacific, it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 likely that very little income is derived overall from this species by fishers and traders.  While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were still being caught perhaps 10 years ago, catches are now extremely rare and restricted to the most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skilled fishers within a particular fishing community (H. Scales, unpublished thesis, 2005).</w:t>
      </w:r>
    </w:p>
    <w:p>
      <w:pPr>
        <w:autoSpaceDN w:val="0"/>
        <w:autoSpaceDE w:val="0"/>
        <w:widowControl/>
        <w:spacing w:line="242" w:lineRule="auto" w:before="318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3: Box 4</w:t>
      </w:r>
    </w:p>
    <w:p>
      <w:pPr>
        <w:autoSpaceDN w:val="0"/>
        <w:autoSpaceDE w:val="0"/>
        <w:widowControl/>
        <w:spacing w:line="242" w:lineRule="auto" w:before="36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Livelihood risks from involvement in the live reef food fish trade</w:t>
      </w:r>
    </w:p>
    <w:p>
      <w:pPr>
        <w:autoSpaceDN w:val="0"/>
        <w:autoSpaceDE w:val="0"/>
        <w:widowControl/>
        <w:spacing w:line="293" w:lineRule="auto" w:before="348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Involvement in the LRFF trade is not without its risks to livelihoods. Investment costs are generally high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(e.g. for motorized boats and specialized equipment) and can trigger a burden of debt if the income flow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is not continuous or long lasting—as is often the case. The equipment itself can represent a risk to human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health (for example, in the use of surface-fed “hookah” diving equipment) without necessary safety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training (Johannes and Riepen, 1995). The introduction of a cash-based LRFF trade also sometimes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competes with, and has an impact on, traditional social processes such as contributions to food security,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maintenance of networking and social coherence among community members (Kronen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., 2006).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There are few places where the LRFF trade has not sparked social disputes and disruption,such as conflict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between fishers and traders over prices and the distribution of income within a community and between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fishers and villages over ownership and access rights to fish in certain areas (Sadovy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., 2003).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Furthermore, the LRFF trade is highly susceptible to external political and economic pressures.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outbreak of Severe Acute Respiratory Syndrome (SARS) in 2003, for example, triggered a reduction in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demand for live fish in restaurants in Hong Kong and, consequently, prices paid to fishers in several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countries dropped by as much as 40% (Muldoon </w:t>
      </w:r>
      <w:r>
        <w:rPr>
          <w:rFonts w:ascii="GillSansMT" w:hAnsi="GillSansMT" w:eastAsia="GillSansMT"/>
          <w:b w:val="0"/>
          <w:i/>
          <w:color w:val="000000"/>
          <w:sz w:val="21"/>
        </w:rPr>
        <w:t>et al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., 2005).</w:t>
      </w:r>
    </w:p>
    <w:p>
      <w:pPr>
        <w:autoSpaceDN w:val="0"/>
        <w:autoSpaceDE w:val="0"/>
        <w:widowControl/>
        <w:spacing w:line="240" w:lineRule="auto" w:before="706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Management of the trade</w:t>
      </w:r>
    </w:p>
    <w:p>
      <w:pPr>
        <w:autoSpaceDN w:val="0"/>
        <w:autoSpaceDE w:val="0"/>
        <w:widowControl/>
        <w:spacing w:line="320" w:lineRule="exact" w:before="32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Prior to 2004 there was no co-ordinated management of the trade in Humphead Wrasse.  A few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countries had set national size restrictions and export bans but these were weakly implemented (Lau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Parry-Jones, 1999).  In the Pacific, a Regional Live Reef Fish Trade Initiative was established 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1998 by the Secretariat of the Pacific Community and is addressing conservation and sustainable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of both live food fish and marine ornamental fish (Sadovy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2003).  Overall, however,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main emphasis on management has been towards curbing the use of destructive fishing practices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71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889000</wp:posOffset>
            </wp:positionH>
            <wp:positionV relativeFrom="page">
              <wp:posOffset>3213100</wp:posOffset>
            </wp:positionV>
            <wp:extent cx="5753100" cy="5562600"/>
            <wp:wrapNone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5626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such as cyanide fishing, which are strongly associated with the trade, rather than over-fishing which is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major problem (Sadovy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2003).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Humphead Wrasse was listed in Appendix II of CITES in 2004, requiring source nations that are Party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CITES to introduce or enforce existing management measures to ensure the sustainability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trade.  As a result, several regional workshops have been held across South-east Asia in order to help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co-ordinate national efforts, raise awareness of the Appendix II listing, facilitate data collection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 methods to set quotas at a sustainable level (Chu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2006).  Some of the proposed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measures are still at the stage of discussion and recommendation and Indonesia is the only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exporting nation to have set a CITES quota partly based on an analysis of stock status (FAO, 2007).</w:t>
      </w:r>
    </w:p>
    <w:p>
      <w:pPr>
        <w:autoSpaceDN w:val="0"/>
        <w:autoSpaceDE w:val="0"/>
        <w:widowControl/>
        <w:spacing w:line="242" w:lineRule="auto" w:before="548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Case study 3: Box 5</w:t>
      </w:r>
    </w:p>
    <w:p>
      <w:pPr>
        <w:autoSpaceDN w:val="0"/>
        <w:autoSpaceDE w:val="0"/>
        <w:widowControl/>
        <w:spacing w:line="242" w:lineRule="auto" w:before="360" w:after="0"/>
        <w:ind w:left="7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4"/>
        </w:rPr>
        <w:t>Managing the Humphead Wrasse trade in Indonesia and Malaysia</w:t>
      </w:r>
    </w:p>
    <w:p>
      <w:pPr>
        <w:autoSpaceDN w:val="0"/>
        <w:tabs>
          <w:tab w:pos="7990" w:val="left"/>
        </w:tabs>
        <w:autoSpaceDE w:val="0"/>
        <w:widowControl/>
        <w:spacing w:line="290" w:lineRule="auto" w:before="368" w:after="0"/>
        <w:ind w:left="70" w:right="0" w:firstLine="0"/>
        <w:jc w:val="left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The high value of Humphead Wrasse provides a strong incentive for illegal and unsustainable fishing,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undermining the resource base for future fisheries, and therefore the economic base for present and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future fishers. Efforts have been made to increase the availability of information about fisheries and trade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patterns, with a focus on Indonesia and Malaysia, two of the largest producers, and to catalyse more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effective management of fishing and trade, including through increased co-operation among fishers,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traders and government agencies. This work, which was led by the IUCN/SSC Grouper and Wrasse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Specialist Group (GWSG), in collaboration with FAO and the CITES Secretariat, provided a foundation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for development of management tools for Humphead Wrasse in Indonesia, including a revised policy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between fisheries, government and industry participants at local and national levels. </w:t>
      </w:r>
      <w:r>
        <w:tab/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Parameters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developed by the GWSG and TRAFFIC for monitoring trade and wild populations will be used at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government level to work with industry stakeholders to increase awareness of the need to regulate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annual offtake from local populations, as well as annual limits on export volumes, and thereby secure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resource base for future harvest.</w:t>
      </w:r>
    </w:p>
    <w:p>
      <w:pPr>
        <w:autoSpaceDN w:val="0"/>
        <w:autoSpaceDE w:val="0"/>
        <w:widowControl/>
        <w:spacing w:line="286" w:lineRule="auto" w:before="356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 Malaysia, management of the international trade in Humphead Wrasse was shifted away from the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terrestrial-focused Sabah Wildlife Department, to the Sabah Fisheries Department in Malaysian Borneo.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Development of a new, reduced export quota and standardized trade monitoring protocol have been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initiated, working in Sabah where new policies are being developed from the ground up. This should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simplify the initial steps of the formulation process, which can then be adapted to the more complex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nature of Indonesia and Philippines and Papua New Guinea (other important range States).</w:t>
      </w:r>
    </w:p>
    <w:p>
      <w:pPr>
        <w:autoSpaceDN w:val="0"/>
        <w:autoSpaceDE w:val="0"/>
        <w:widowControl/>
        <w:spacing w:line="278" w:lineRule="auto" w:before="356" w:after="0"/>
        <w:ind w:left="70" w:right="90" w:firstLine="0"/>
        <w:jc w:val="both"/>
      </w:pP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As well as setting the stage for improved management of this species, the outcomes of the work on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 xml:space="preserve">Humphead Wrasse will serve as an important model for other efforts to address unsustainable and/or </w:t>
      </w:r>
      <w:r>
        <w:rPr>
          <w:rFonts w:ascii="GillSansMT" w:hAnsi="GillSansMT" w:eastAsia="GillSansMT"/>
          <w:b w:val="0"/>
          <w:i w:val="0"/>
          <w:color w:val="000000"/>
          <w:sz w:val="21"/>
        </w:rPr>
        <w:t>illegal trade in coral reef species.</w:t>
      </w:r>
    </w:p>
    <w:p>
      <w:pPr>
        <w:autoSpaceDN w:val="0"/>
        <w:autoSpaceDE w:val="0"/>
        <w:widowControl/>
        <w:spacing w:line="320" w:lineRule="exact" w:before="620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As both large and plate-size specimens have declined in abundance, Humphead Wrasse are now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harvested at a very young age and “grown-out” in floating sea cages until they reach a marketable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72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4229100</wp:posOffset>
            </wp:positionH>
            <wp:positionV relativeFrom="page">
              <wp:posOffset>7391400</wp:posOffset>
            </wp:positionV>
            <wp:extent cx="2413000" cy="1930400"/>
            <wp:wrapNone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9304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autoSpaceDE w:val="0"/>
        <w:widowControl/>
        <w:spacing w:line="314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“plate-size” of around 0.5 to 1kg (Sadovy and Domeier, 2004).  While rearing small fish to a larger,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more profitable size potentially offers an important source of income to local communities that can no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longer access larger wild-caught fish, its ecological impacts need to be carefully assessed because it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involves the removal of juveniles, i.e. the breeders of the future, from the population and excessive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removals will compromise the reproductive potential of the stock (FAO, 2007; Sadovy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., 2007).</w:t>
      </w:r>
    </w:p>
    <w:p>
      <w:pPr>
        <w:autoSpaceDN w:val="0"/>
        <w:autoSpaceDE w:val="0"/>
        <w:widowControl/>
        <w:spacing w:line="240" w:lineRule="auto" w:before="356" w:after="0"/>
        <w:ind w:left="0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4"/>
        </w:rPr>
        <w:t>Impacts of trade management</w:t>
      </w:r>
    </w:p>
    <w:p>
      <w:pPr>
        <w:autoSpaceDN w:val="0"/>
        <w:autoSpaceDE w:val="0"/>
        <w:widowControl/>
        <w:spacing w:line="320" w:lineRule="exact" w:before="326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It is likely to be a long time before conservation efforts lead to recovery of populations to sizes from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which fishers could begin to benefit in terms of income earned directly from fishing this species.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Sustainable levels of Humphead Wrasse harvest are also likely to be extremely low because of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biological characteristics that minimize the species’s resilience to exploitation. 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Undoubtedly, therefore, CITES trade controls will have some negative impact on local livelihoods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(albeit in the cause of sustaining the trade over the longer term).  This seems to mirror the general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trends for other species in the LRFF trade.  So far, there are few examples where fishing has been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sustainable and rarely have fishers secured a long-lasting source of income from participating in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trade.  “Boom and bust” patterns of fishery development are commonplace, the wave of exploitation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radiates further and further from Hong Kong and reef resources are being rapidly liquidated in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particular region before the trade moves on to the next area (Scales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 al.,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2006). </w:t>
      </w:r>
    </w:p>
    <w:p>
      <w:pPr>
        <w:autoSpaceDN w:val="0"/>
        <w:autoSpaceDE w:val="0"/>
        <w:widowControl/>
        <w:spacing w:line="247" w:lineRule="auto" w:before="338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 xml:space="preserve">Conclusions—can the Asian coastal fisheries trade contribute </w:t>
      </w:r>
      <w:r>
        <w:rPr>
          <w:rFonts w:ascii="GillSansMT" w:hAnsi="GillSansMT" w:eastAsia="GillSansMT"/>
          <w:b/>
          <w:i w:val="0"/>
          <w:color w:val="000000"/>
          <w:sz w:val="28"/>
        </w:rPr>
        <w:t>to the MDGs?</w:t>
      </w:r>
    </w:p>
    <w:p>
      <w:pPr>
        <w:autoSpaceDN w:val="0"/>
        <w:tabs>
          <w:tab w:pos="5330" w:val="left"/>
          <w:tab w:pos="6136" w:val="left"/>
          <w:tab w:pos="7264" w:val="left"/>
          <w:tab w:pos="7988" w:val="left"/>
        </w:tabs>
        <w:autoSpaceDE w:val="0"/>
        <w:widowControl/>
        <w:spacing w:line="322" w:lineRule="exact" w:before="314" w:after="14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Nearly two per cent of the world’s population depends on fishing and fishing-related activities, in both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inland and marine environments, the vast majority (80%) in Asia.  The majority of fishers are small-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scale, artisanal, coastal operators, often among the poorest in society—and certainly included amongst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those targeted by the MDGs.  These people are attracted to the coast by its open-access resources,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which are not available inland—an opportunity of “last resort”.  Coastal, and in particular reef, fisheries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of great importance to poor communities as they can be exploited by people of all ages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abilities—the elderly, children and women are able to access a range of food and revenue-generating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products—gleaning is particularly important.  Little, and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often no, capital investment is required as many fisheries </w:t>
      </w:r>
      <w:r>
        <w:tab/>
      </w:r>
      <w:r>
        <w:rPr>
          <w:rFonts w:ascii="GillSansMT" w:hAnsi="GillSansMT" w:eastAsia="GillSansMT"/>
          <w:b/>
          <w:i/>
          <w:color w:val="000000"/>
          <w:sz w:val="22"/>
        </w:rPr>
        <w:t xml:space="preserve">"Stock depletion has implications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can be accessed on foot and products collected by hand </w:t>
      </w:r>
      <w:r>
        <w:tab/>
      </w:r>
      <w:r>
        <w:rPr>
          <w:rFonts w:ascii="GillSansMT" w:hAnsi="GillSansMT" w:eastAsia="GillSansMT"/>
          <w:b/>
          <w:i/>
          <w:color w:val="000000"/>
          <w:sz w:val="22"/>
        </w:rPr>
        <w:t xml:space="preserve">food </w:t>
      </w:r>
      <w:r>
        <w:tab/>
      </w:r>
      <w:r>
        <w:rPr>
          <w:rFonts w:ascii="GillSansMT" w:hAnsi="GillSansMT" w:eastAsia="GillSansMT"/>
          <w:b/>
          <w:i/>
          <w:color w:val="000000"/>
          <w:sz w:val="22"/>
        </w:rPr>
        <w:t xml:space="preserve">security </w:t>
      </w:r>
      <w:r>
        <w:tab/>
      </w:r>
      <w:r>
        <w:rPr>
          <w:rFonts w:ascii="GillSansMT" w:hAnsi="GillSansMT" w:eastAsia="GillSansMT"/>
          <w:b/>
          <w:i/>
          <w:color w:val="000000"/>
          <w:sz w:val="22"/>
        </w:rPr>
        <w:t xml:space="preserve">and </w:t>
      </w:r>
      <w:r>
        <w:tab/>
      </w:r>
      <w:r>
        <w:rPr>
          <w:rFonts w:ascii="GillSansMT" w:hAnsi="GillSansMT" w:eastAsia="GillSansMT"/>
          <w:b/>
          <w:i/>
          <w:color w:val="000000"/>
          <w:sz w:val="22"/>
        </w:rPr>
        <w:t>economic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306" w:lineRule="exact" w:before="0" w:after="0"/>
        <w:ind w:left="0" w:right="144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or with very simple gear using cheap and locally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available materials—particularly important for female-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2" w:equalWidth="0"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71" w:lineRule="auto" w:before="0" w:after="14"/>
        <w:ind w:left="144" w:right="0" w:firstLine="0"/>
        <w:jc w:val="center"/>
      </w:pPr>
      <w:r>
        <w:rPr>
          <w:rFonts w:ascii="GillSansMT" w:hAnsi="GillSansMT" w:eastAsia="GillSansMT"/>
          <w:b/>
          <w:i/>
          <w:color w:val="000000"/>
          <w:sz w:val="22"/>
        </w:rPr>
        <w:t xml:space="preserve">development, reduces social welfare </w:t>
      </w:r>
      <w:r>
        <w:rPr>
          <w:rFonts w:ascii="GillSansMT" w:hAnsi="GillSansMT" w:eastAsia="GillSansMT"/>
          <w:b/>
          <w:i/>
          <w:color w:val="000000"/>
          <w:sz w:val="22"/>
        </w:rPr>
        <w:t>in countries around the world and</w:t>
      </w:r>
    </w:p>
    <w:p>
      <w:pPr>
        <w:sectPr>
          <w:type w:val="nextColumn"/>
          <w:pgSz w:w="11713" w:h="16791"/>
          <w:pgMar w:top="678" w:right="1248" w:bottom="290" w:left="1416" w:header="720" w:footer="720" w:gutter="0"/>
          <w:cols w:space="720" w:num="2" w:equalWidth="0"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810"/>
        <w:gridCol w:w="1810"/>
        <w:gridCol w:w="1810"/>
        <w:gridCol w:w="1810"/>
        <w:gridCol w:w="1810"/>
      </w:tblGrid>
      <w:tr>
        <w:trPr>
          <w:trHeight w:hRule="exact" w:val="286"/>
        </w:trPr>
        <w:tc>
          <w:tcPr>
            <w:tcW w:type="dxa" w:w="51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0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headed households (Whittingham </w:t>
            </w: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et al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., 2003; Gonzales</w:t>
            </w:r>
          </w:p>
        </w:tc>
        <w:tc>
          <w:tcPr>
            <w:tcW w:type="dxa" w:w="1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5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000000"/>
                <w:sz w:val="22"/>
              </w:rPr>
              <w:t xml:space="preserve">undermines </w:t>
            </w:r>
          </w:p>
        </w:tc>
        <w:tc>
          <w:tcPr>
            <w:tcW w:type="dxa" w:w="6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5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000000"/>
                <w:sz w:val="22"/>
              </w:rPr>
              <w:t xml:space="preserve">the </w:t>
            </w:r>
          </w:p>
        </w:tc>
        <w:tc>
          <w:tcPr>
            <w:tcW w:type="dxa" w:w="13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50" w:after="0"/>
              <w:ind w:left="0" w:right="0" w:firstLine="0"/>
              <w:jc w:val="center"/>
            </w:pPr>
            <w:r>
              <w:rPr>
                <w:rFonts w:ascii="GillSansMT" w:hAnsi="GillSansMT" w:eastAsia="GillSansMT"/>
                <w:b/>
                <w:i/>
                <w:color w:val="000000"/>
                <w:sz w:val="22"/>
              </w:rPr>
              <w:t xml:space="preserve">well-being </w:t>
            </w:r>
          </w:p>
        </w:tc>
        <w:tc>
          <w:tcPr>
            <w:tcW w:type="dxa" w:w="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50" w:after="0"/>
              <w:ind w:left="0" w:right="38" w:firstLine="0"/>
              <w:jc w:val="right"/>
            </w:pPr>
            <w:r>
              <w:rPr>
                <w:rFonts w:ascii="GillSansMT" w:hAnsi="GillSansMT" w:eastAsia="GillSansMT"/>
                <w:b/>
                <w:i/>
                <w:color w:val="000000"/>
                <w:sz w:val="22"/>
              </w:rPr>
              <w:t>of</w:t>
            </w:r>
          </w:p>
        </w:tc>
      </w:tr>
    </w:tbl>
    <w:p>
      <w:pPr>
        <w:autoSpaceDN w:val="0"/>
        <w:autoSpaceDE w:val="0"/>
        <w:widowControl/>
        <w:spacing w:line="14" w:lineRule="exact" w:before="0" w:after="14"/>
        <w:ind w:left="0" w:right="0"/>
      </w:pP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94" w:lineRule="exact" w:before="0" w:after="0"/>
        <w:ind w:left="0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et al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., 2006). </w:t>
      </w:r>
    </w:p>
    <w:p>
      <w:pPr>
        <w:autoSpaceDN w:val="0"/>
        <w:autoSpaceDE w:val="0"/>
        <w:widowControl/>
        <w:spacing w:line="320" w:lineRule="exact" w:before="320" w:after="0"/>
        <w:ind w:left="0" w:right="144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 fish trade, even unmanaged, provides a vitally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important source of income for these people—as well as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2" w:equalWidth="0"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1214" w:val="left"/>
        </w:tabs>
        <w:autoSpaceDE w:val="0"/>
        <w:widowControl/>
        <w:spacing w:line="286" w:lineRule="auto" w:before="0" w:after="1528"/>
        <w:ind w:left="148" w:right="0" w:firstLine="0"/>
        <w:jc w:val="left"/>
      </w:pPr>
      <w:r>
        <w:rPr>
          <w:rFonts w:ascii="GillSansMT" w:hAnsi="GillSansMT" w:eastAsia="GillSansMT"/>
          <w:b/>
          <w:i/>
          <w:color w:val="000000"/>
          <w:sz w:val="22"/>
        </w:rPr>
        <w:t xml:space="preserve">underwater ecosystems."  Ichiro </w:t>
      </w:r>
      <w:r>
        <w:rPr>
          <w:rFonts w:ascii="GillSansMT" w:hAnsi="GillSansMT" w:eastAsia="GillSansMT"/>
          <w:b/>
          <w:i/>
          <w:color w:val="000000"/>
          <w:sz w:val="22"/>
        </w:rPr>
        <w:t xml:space="preserve">Nomura, </w:t>
      </w:r>
      <w:r>
        <w:tab/>
      </w:r>
      <w:r>
        <w:rPr>
          <w:rFonts w:ascii="GillSansMT" w:hAnsi="GillSansMT" w:eastAsia="GillSansMT"/>
          <w:b/>
          <w:i/>
          <w:color w:val="000000"/>
          <w:sz w:val="22"/>
        </w:rPr>
        <w:t xml:space="preserve">FAO Assistant Director </w:t>
      </w:r>
      <w:r>
        <w:rPr>
          <w:rFonts w:ascii="GillSansMT" w:hAnsi="GillSansMT" w:eastAsia="GillSansMT"/>
          <w:b/>
          <w:i/>
          <w:color w:val="000000"/>
          <w:sz w:val="22"/>
        </w:rPr>
        <w:t xml:space="preserve">General for Fisheries, cited in an FAO </w:t>
      </w:r>
      <w:r>
        <w:rPr>
          <w:rFonts w:ascii="GillSansMT" w:hAnsi="GillSansMT" w:eastAsia="GillSansMT"/>
          <w:b/>
          <w:i/>
          <w:color w:val="000000"/>
          <w:sz w:val="22"/>
        </w:rPr>
        <w:t>press release, 2005.</w:t>
      </w:r>
    </w:p>
    <w:p>
      <w:pPr>
        <w:sectPr>
          <w:type w:val="nextColumn"/>
          <w:pgSz w:w="11713" w:h="16791"/>
          <w:pgMar w:top="678" w:right="1248" w:bottom="290" w:left="1416" w:header="720" w:footer="720" w:gutter="0"/>
          <w:cols w:space="720" w:num="2" w:equalWidth="0"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tabs>
          <w:tab w:pos="8744" w:val="left"/>
        </w:tabs>
        <w:autoSpaceDE w:val="0"/>
        <w:widowControl/>
        <w:spacing w:line="242" w:lineRule="auto" w:before="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73</w:t>
      </w:r>
    </w:p>
    <w:p>
      <w:pPr>
        <w:sectPr>
          <w:type w:val="continuous"/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8" w:lineRule="exact" w:before="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increased food security for those involved in the trade as consumers.  Given the dependence of so many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people on fish as a primary source of protein, however, it is vital that the trade is well managed in order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ensure the food security of those who are not involved in the trade but simply dependent on fish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their day-to-day existence.  Trade management is thus essential to maximize the contribution to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achievement of the two targets within MDG 1 on hunger and poverty.  However, most capture fisheries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are considered unsustainable and their ability to provide long-term benefits is in doubt (Millennium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Ecosystem Assessment, 2005b).  Improved management is thus a high priority if trade in fish is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contribute to more than MDG 1.  In some cases, this may lead to a short-term reduction in benefit to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those involved at the production end, but in the longer term it is the only way to ensure the continued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availability of this essential resource.</w:t>
      </w:r>
    </w:p>
    <w:p>
      <w:pPr>
        <w:autoSpaceDN w:val="0"/>
        <w:autoSpaceDE w:val="0"/>
        <w:widowControl/>
        <w:spacing w:line="320" w:lineRule="exact" w:before="320" w:after="0"/>
        <w:ind w:left="0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Potentially, sustainable management of both domestic and international trade in many fishery products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could make a significant positive contribution to poverty alleviation—both directly though increased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food security and enhanced income-earning opportunities, and indirectly through the maintenance of 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secure natural resource base.  Seahorses, Humphead Wrasse and certain ornamental fish can be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considered as flagship species, promoting not only their own conservation but also wider habitat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protection, as within MPAs in the Philippines, or fostering discussions on sustainable fishery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management, as in Indonesia.  The challenge is to find the mechanisms and trade structures that will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benefit those at the production end of the supply chain, without causing damage to the ecosystems 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which the industries depend. 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830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74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64"/>
        <w:ind w:left="0" w:right="0"/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rPr>
          <w:rFonts w:ascii="GillSansMT" w:hAnsi="GillSansMT" w:eastAsia="GillSansMT"/>
          <w:b/>
          <w:i w:val="0"/>
          <w:color w:val="000000"/>
          <w:sz w:val="28"/>
        </w:rPr>
        <w:t>REFERENCES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318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Altrichter, M. and Boaglio, G. I. (2004).  Distribution and relative abundance of peccaries in the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Argentine Chaco: associations with human factors.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Biological Conservation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116: 217–225.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Altrichter, M. (2005).  The sustainability of subsistence hunting of peccaries in the Argentine Chaco.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Biological Conservation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126: 351–362.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Andel, van T., MacKinven, A and Banki, O.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Commercial Non-Timber Forest Products of the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Guiiana Shield. An inventory of commercial NTFP extraction and possibilities for sustainable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harvesting.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Netherlands Committee for IUCN, Amsterdam, Netherlands.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Angelsen, A. and Wunder, S.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Exploring the forest—poverty link: key concepts, issues and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research implications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Bogor, Indonesia: CIFOR.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12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Anon (2001).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Namibia bans exports of live animals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Ultimate Africa Safaris.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http://www.ultimateafrica.com/mar01.htm, viewed 18 January 2002.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293"/>
        <w:gridCol w:w="1293"/>
        <w:gridCol w:w="1293"/>
        <w:gridCol w:w="1293"/>
        <w:gridCol w:w="1293"/>
        <w:gridCol w:w="1293"/>
        <w:gridCol w:w="1293"/>
      </w:tblGrid>
      <w:tr>
        <w:trPr>
          <w:trHeight w:hRule="exact" w:val="320"/>
        </w:trPr>
        <w:tc>
          <w:tcPr>
            <w:tcW w:type="dxa" w:w="8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Anon </w:t>
            </w:r>
          </w:p>
        </w:tc>
        <w:tc>
          <w:tcPr>
            <w:tcW w:type="dxa" w:w="1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258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(2006). </w:t>
            </w:r>
          </w:p>
        </w:tc>
        <w:tc>
          <w:tcPr>
            <w:tcW w:type="dxa" w:w="17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234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Peccaries. </w:t>
            </w:r>
          </w:p>
        </w:tc>
        <w:tc>
          <w:tcPr>
            <w:tcW w:type="dxa" w:w="13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Peccary </w:t>
            </w:r>
          </w:p>
        </w:tc>
        <w:tc>
          <w:tcPr>
            <w:tcW w:type="dxa" w:w="9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Pelt </w:t>
            </w:r>
          </w:p>
        </w:tc>
        <w:tc>
          <w:tcPr>
            <w:tcW w:type="dxa" w:w="17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Certification </w:t>
            </w:r>
          </w:p>
        </w:tc>
        <w:tc>
          <w:tcPr>
            <w:tcW w:type="dxa" w:w="9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0" w:right="0" w:firstLine="0"/>
              <w:jc w:val="righ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Project.</w:t>
            </w:r>
          </w:p>
        </w:tc>
      </w:tr>
    </w:tbl>
    <w:p>
      <w:pPr>
        <w:autoSpaceDN w:val="0"/>
        <w:autoSpaceDE w:val="0"/>
        <w:widowControl/>
        <w:spacing w:line="316" w:lineRule="exact" w:before="0" w:after="0"/>
        <w:ind w:left="0" w:right="20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http://www.kent.ac.uk/anthropology/dice/research/peccary/peccaries.htm, viewed 31 October 2007.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Anon. (2007a).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ZIMBABWE Food Security Outlook October 2007 to March 2008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Famine Early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Warning Systems Network, USAID, Washington, D. C.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Anon. (2007b).  Zimbabwe poaching seen rising on meat shortages.  Reuters News Service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http://uk.reuters.com/article/worldNews/idUKL274168120070727), viewed 15 December 2007.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Aparicio, J. and Rios, J. (2006).  Experiencias de manejo en el proceso de aprovechamiento sostenible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del lagarto (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Caiman yacare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 en Bolivia (1995–2004).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Rev. Electrónica Manejo de Fauna Silvestre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en Latinoamérica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1: 1–11.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Arnold, J. E. M. (1995).  Socio-economic benefits and issues in non-wood forest products use.  In: FAO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(Ed.)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Report of the International Expert Consultation on Non-Wood Forest Products, Yogyakarta,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Indonesia, 17–27 January 1995.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Food and Agriculture Organization, Rome, Italy.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Barden, A., Awang Anak, N., Mulliken, T. and Song, M. (2000).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Heart of the Matter: Agarwood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Use and Trade and CITES Implementation for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Aquilaria malaccensis.  TRAFFIC International,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Cambridge,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Barnett, R. (2000).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Food for Thought: The Utilization of Wild Meat in Eastern and Southern Africa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TRAFFIC East/Southern Africa, Nairobi, Kenya. 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Bass, S., Thornber, K., Markopoulos, M., Roberts, S. and Grieg-Gran, M. (2001).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Certification’s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Impacts on Forests, Stakeholders and Supply Chains.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International Institute for Environment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Development, London,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Baum, J. K., Meeuwig, J. J. and Vincent, A. C. J. (2003).  Bycatch of lined seahorses (Hippocampus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erectus) in a Gulf of Mexico shrimp trawl fishery.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Fishery Bulletin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101:721–731.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Baum, J. K. and Vincent, A. C. J. (2005).  Magnitude and inferred impacts of the seahorse trade in Latin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America.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Environmental Conservation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32:305–319.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 Beer, J. H and McDermott, M. L. (1996).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Economic Value of Non-Timber Forest Products in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South East Asia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Netherlands Committee for IUCN, Amsterdam, Netherlands.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Belcher, B. (2003).  What isn’t an NTFP?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International Forestry Review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5(2): 161–168.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858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75</w:t>
      </w:r>
    </w:p>
    <w:p>
      <w:pPr>
        <w:sectPr>
          <w:pgSz w:w="11713" w:h="16791"/>
          <w:pgMar w:top="684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31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Belcher, B., Ruiz-Perez, M., and Achdiawan, R. (2007).  Global Patterns and Trends in the Use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Management of Commercial NTFPs: Implications for Livelihoods and Conservation.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World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Development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33(9): 1435–1452.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Belcher, B. and Schrekenberg, K. (2007).  Commercialisation of Non-timber Forest Products: A Reality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Check.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Development Policy Review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25(3): 355–377.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Bennett, E. L. and Robinson, J. G. (2000).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Hunting of Wildlife in Tropical Forests.  Implications for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Biodiversity and Forest Peoples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Biodiversity Series—Impact Studies.  World Bank, Washington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DC, USA.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14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Bentley, N. (1999).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Fishing for Solutions: Can the Live Trade in Wild Groupers and Wrasses from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Southeast Asia be Managed?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TRAFFIC Southeast Asia, Kuala Lumpur, Malaysia.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31"/>
        <w:gridCol w:w="1131"/>
        <w:gridCol w:w="1131"/>
        <w:gridCol w:w="1131"/>
        <w:gridCol w:w="1131"/>
        <w:gridCol w:w="1131"/>
        <w:gridCol w:w="1131"/>
        <w:gridCol w:w="1131"/>
      </w:tblGrid>
      <w:tr>
        <w:trPr>
          <w:trHeight w:hRule="exact" w:val="320"/>
        </w:trPr>
        <w:tc>
          <w:tcPr>
            <w:tcW w:type="dxa" w:w="108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BirdLife </w:t>
            </w:r>
          </w:p>
        </w:tc>
        <w:tc>
          <w:tcPr>
            <w:tcW w:type="dxa" w:w="1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International </w:t>
            </w:r>
          </w:p>
        </w:tc>
        <w:tc>
          <w:tcPr>
            <w:tcW w:type="dxa" w:w="14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248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(2004). </w:t>
            </w:r>
          </w:p>
        </w:tc>
        <w:tc>
          <w:tcPr>
            <w:tcW w:type="dxa" w:w="12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0" w:right="234" w:firstLine="0"/>
              <w:jc w:val="righ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State </w:t>
            </w:r>
          </w:p>
        </w:tc>
        <w:tc>
          <w:tcPr>
            <w:tcW w:type="dxa" w:w="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of </w:t>
            </w:r>
          </w:p>
        </w:tc>
        <w:tc>
          <w:tcPr>
            <w:tcW w:type="dxa" w:w="8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the 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World’s </w:t>
            </w:r>
          </w:p>
        </w:tc>
        <w:tc>
          <w:tcPr>
            <w:tcW w:type="dxa" w:w="7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righ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Birds</w:t>
            </w: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.</w:t>
            </w:r>
          </w:p>
        </w:tc>
      </w:tr>
    </w:tbl>
    <w:p>
      <w:pPr>
        <w:autoSpaceDN w:val="0"/>
        <w:autoSpaceDE w:val="0"/>
        <w:widowControl/>
        <w:spacing w:line="294" w:lineRule="exact" w:before="12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http://www.birdlife.org/action/science/sowb/pressure/42.html, viewed 29 April 2008.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Blay, D. (2004).  Dental hygiene and livelihoods: a case of chewing sticks in Ghana.  In: Sunderland,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T. and Ndoye, O.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Forest Products, Livelihoods and Conservation.  Case Studies of Non-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Timber Forest Product Systems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Volume 2 Africa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CIFOR, Bogor, Indonesia.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Bodmer, R. E., Fang, T. G., Villanes, R. A. and Puertas, P. E. (2004a).  Certification of the peccary pelt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trade: a strategy for managing bush meat hunting in the Peruvian Amazon.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Suiform Soundings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4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(1): 5–11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Bodmer, R. E., Penn, J. W., Puertas, P., Moya, L. M. and Fang, T. G. (1997).  Linking conservation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people through sustainable use of natural resources.  In: Freese, C. H. (Ed).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Harvesting Wild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Species: Implications for Biodiversity Conservation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Baltimore University Press, Baltimore, USA.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Bodmer, R. E., Pezo Lozano, E. and Fang, T. G. (2004b).  Economic analysis of wildlife use in the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Peruvian Amazon.  In: Silvius, K., Bodmer, R. and Fragoso, J. (Eds.).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People in Nature: Wildlife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Conservation in South and Central America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Columbia University Press, New York, USA.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Bonacic, C. and Gimpel, J. (2003). Sustainable Use of the Vicuna: a Critical Analysis of the MACS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Project.  In: Lemons, J., Victor, R. and D. Schaffer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Conserving Biodiversity in Arid Regions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Kluwer Academic Publishers, Boston, USA. 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Bowen-Jones, E. and Brown, D. and Robinson, E. (2002).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Assessment of the Solution-orientated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Research Needed to Promote a More Sustainable Bushmeat Trade in Central and West Africa.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Wildlife and Countryside Directorate, DEFRA, London, UK.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Broad, S., Mulliken, T. and Roe, D. (2003).  The nature and extent of legal and illegal trade in wildlife.</w:t>
      </w:r>
    </w:p>
    <w:p>
      <w:pPr>
        <w:autoSpaceDN w:val="0"/>
        <w:autoSpaceDE w:val="0"/>
        <w:widowControl/>
        <w:spacing w:line="320" w:lineRule="exact" w:before="0" w:after="0"/>
        <w:ind w:left="0" w:right="22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In: Oldfield, S. (Ed.).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Trade in Wildlife, Regulation for Conservation.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Earthscan, London, UK.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Brown, D.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Bushmeat and poverty alleviation: the case for development policy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Wildlife policy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briefing.  Overseas Development Institute, London, UK.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Brown, D., Fa, J. and Gordon, L.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Assessment of Recent Bushmeat Research and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Recommendations to Her Majesty’s Government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Overseas Development Institute, London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Durrell Wildlife Conservation Trust, Jersey, UK.</w:t>
      </w:r>
    </w:p>
    <w:p>
      <w:pPr>
        <w:autoSpaceDN w:val="0"/>
        <w:tabs>
          <w:tab w:pos="288" w:val="left"/>
        </w:tabs>
        <w:autoSpaceDE w:val="0"/>
        <w:widowControl/>
        <w:spacing w:line="328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Brown, D. and Williams, A (2003).  The case for bushmeat as a component of development policy: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issues and challenges.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International Forestry Review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 5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(2): 148–155.</w:t>
      </w:r>
    </w:p>
    <w:p>
      <w:pPr>
        <w:autoSpaceDN w:val="0"/>
        <w:autoSpaceDE w:val="0"/>
        <w:widowControl/>
        <w:spacing w:line="316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Bruckner, A. W., Johnson, K. A. and Field, J. D. (2003).  Conservation strategies for sea cucumbers: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can a CITES Appendix II listing promote sustainable international trade?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SPC Bêche-de-mer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Information Bulletin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18:24–34.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76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Burgener, M. (2007).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Trade Measures—Tools to Promote the Sustainable use of NWFP?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Non-Wood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Forest Products Working Document No 6. Food and Agriculture Organization, Rome, Italy.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Burgess, J. C. (1992).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The Impact of Wildlife Trade on Endangered Species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LEEC Discussion Paper.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9202, International Institute for Environment and Development, London, UK.</w:t>
      </w:r>
    </w:p>
    <w:p>
      <w:pPr>
        <w:autoSpaceDN w:val="0"/>
        <w:autoSpaceDE w:val="0"/>
        <w:widowControl/>
        <w:spacing w:line="292" w:lineRule="exact" w:before="28" w:after="14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Castro, J., Magbanua, F. and D’Agnes, L. (undated).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Integrated Approach Contributes to MDG in the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144.00000000000006" w:type="dxa"/>
      </w:tblPr>
      <w:tblGrid>
        <w:gridCol w:w="1292"/>
        <w:gridCol w:w="1292"/>
        <w:gridCol w:w="1292"/>
        <w:gridCol w:w="1292"/>
        <w:gridCol w:w="1292"/>
        <w:gridCol w:w="1292"/>
        <w:gridCol w:w="1292"/>
      </w:tblGrid>
      <w:tr>
        <w:trPr>
          <w:trHeight w:hRule="exact" w:val="320"/>
        </w:trPr>
        <w:tc>
          <w:tcPr>
            <w:tcW w:type="dxa" w:w="17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6" w:after="0"/>
              <w:ind w:left="144" w:right="0" w:firstLine="0"/>
              <w:jc w:val="lef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Philippines. </w:t>
            </w:r>
          </w:p>
        </w:tc>
        <w:tc>
          <w:tcPr>
            <w:tcW w:type="dxa" w:w="12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18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PATH </w:t>
            </w:r>
          </w:p>
        </w:tc>
        <w:tc>
          <w:tcPr>
            <w:tcW w:type="dxa" w:w="1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Foundation </w:t>
            </w:r>
          </w:p>
        </w:tc>
        <w:tc>
          <w:tcPr>
            <w:tcW w:type="dxa" w:w="1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Philippines </w:t>
            </w:r>
          </w:p>
        </w:tc>
        <w:tc>
          <w:tcPr>
            <w:tcW w:type="dxa" w:w="10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20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Inc. </w:t>
            </w:r>
          </w:p>
        </w:tc>
        <w:tc>
          <w:tcPr>
            <w:tcW w:type="dxa" w:w="15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198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Available </w:t>
            </w:r>
          </w:p>
        </w:tc>
        <w:tc>
          <w:tcPr>
            <w:tcW w:type="dxa" w:w="3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2" w:lineRule="exact" w:before="14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at</w:t>
            </w:r>
          </w:p>
        </w:tc>
      </w:tr>
    </w:tbl>
    <w:p>
      <w:pPr>
        <w:autoSpaceDN w:val="0"/>
        <w:autoSpaceDE w:val="0"/>
        <w:widowControl/>
        <w:spacing w:line="292" w:lineRule="exact" w:before="14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http://www.ehproject.org/PDF/phe/ipopcorm-mdg.pdf, viewed 22 November 2007.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Chardonnet, P., des Clers, B., Fischer, J., Gerhold, R., Jori, F. and Lamarque, F. (2002).  The value of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wildlife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Revue Scientifique et Technique de L Office International des Epizooties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21 (1): 15–51.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Chernela, J. (2003).  Innovative Local Protected Area Governance in Jaireth, H. and Smyth D. (Eds).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Innovative Governance: Indigenous Peoples, Local Communities and Protected Areas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Ane Books,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New Delhi, India.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Chivian, E. (2003).  Beyond wildlife—health and conservation.  In: Roe, D. (Ed.).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Millennium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Development Goals and Conservation: Managing Nature’s Wealth for Society’s Health.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IIED,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London, UK.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Choge, S. K. (2004).  The woodcarving industry in Kenya.  In: Sunderland, T. and Ndoye, O. (Eds).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Forest Products, Livelihoods and Conservation.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Case Studies of Non-Timber Forest Product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Systems.  Volume 2 Africa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CIFOR, Bogor, Indonesia.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Chu C., Kirkpatrick C., Kwan B. and Sadovy, Y.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Final report: Western Pacific Workshop on</w:t>
      </w:r>
    </w:p>
    <w:p>
      <w:pPr>
        <w:autoSpaceDN w:val="0"/>
        <w:autoSpaceDE w:val="0"/>
        <w:widowControl/>
        <w:spacing w:line="320" w:lineRule="exact" w:before="0" w:after="0"/>
        <w:ind w:left="288" w:right="20" w:firstLine="0"/>
        <w:jc w:val="both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Policy, Enforcement and Sustainable Trade for the CITES Appendix II-listed Humphead/Napoleon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Wrasse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Cheilinus undulatus,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 5–7 June 2006.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WWF Hong Kong, Agriculture, Fisheries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Conservation Department, Hong Kong S.A.R., IUCN and TRAFFIC.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CITES (2007a).  Document CoP 14. Prop. 8.  Fourteenth meeting of the Conference of the Parties to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CITES, The Hague, Netherlands, 3–15 June 2007.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CITES (2007b).  Document CoP 14. Prop. 13 (Rev. 1).  Fourteenth meeting of the Conference of the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Parties to CITES, The Hague, Netherlands, 3–15 June 2007.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Clarke, S. (2002).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Trade in dried Asian seafood: characteristics, estimation and implications for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conservation.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WCS Working Paper 22.  Wildlife Conservation Society, New York, USA.</w:t>
      </w:r>
    </w:p>
    <w:p>
      <w:pPr>
        <w:autoSpaceDN w:val="0"/>
        <w:autoSpaceDE w:val="0"/>
        <w:widowControl/>
        <w:spacing w:line="324" w:lineRule="exact" w:before="0" w:after="0"/>
        <w:ind w:left="0" w:right="20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Clay, J. W. and Clement, C. R. (1993).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Selected species and strategies to enhance income generation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from Amazonian forests.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Forestry Working Paper.  Food and Agriculture Organization, Rome, Italy.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Cowlishaw, G., S. Mendelson, S. and Rowcliffe, J. M. (2005).  Evidence for post-depletion sustain-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ability in a mature bushmeat market.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Journal of Applied Ecology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 42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(3): 460–468.</w:t>
      </w:r>
    </w:p>
    <w:p>
      <w:pPr>
        <w:autoSpaceDN w:val="0"/>
        <w:tabs>
          <w:tab w:pos="288" w:val="left"/>
        </w:tabs>
        <w:autoSpaceDE w:val="0"/>
        <w:widowControl/>
        <w:spacing w:line="312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Dennis, K. (2006).  Ocean Rider set to launch two new species.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Regional Notes, Center for Tropical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and Subtropical Aquaculture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17(3): 1–6.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DFID (1999).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Sustainable Livelihoods Guidance Sheets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Department for International Development,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London,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DFID (2002).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Wildlife and Poverty Study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Department for International Development, London, UK.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Eagle, W. (2006).  Hunger and economic chaos threaten Zimbabwe’s wildlife.  Article on Voice of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America website.  www.voanews.com, viewed 30 April 2008.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Edwards, D.M. (1993).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Marketing of Non-Timber Forest Products from the Himalayas: The Trade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Between East Nepal and India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Rural Development Forestry Network Paper 15b Overseas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Development Institute, London, UK.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77</w:t>
      </w:r>
    </w:p>
    <w:p>
      <w:pPr>
        <w:sectPr>
          <w:pgSz w:w="11713" w:h="16791"/>
          <w:pgMar w:top="678" w:right="1250" w:bottom="290" w:left="1416" w:header="720" w:footer="720" w:gutter="0"/>
          <w:cols w:space="720" w:num="1" w:equalWidth="0"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1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Engler, M. (in prep.). The estimated value of global wildlife trade.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TRAFFIC Bulletin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22(1).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Engler, M. and Parry-Jones, R. (2007).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Opportunity or Threat? The Roles of the European Union in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Global Wildlife Trade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TRAFFIC Europe, Brussels, Belgium.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Falconer, J. (1990).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The Major Significance of Minor Forest Products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Community Forestry Note, No. 6.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Food and Agriculture Organization, Rome, Italy.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FAO (1999).  Collection and marketing of matsutake mushrooms in Yunnan Province, China.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Non-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Wood News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6, 33.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Food and Agriculture Organization, Rome, Italy.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FAO (2001).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What are NWFPs?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http://www.fao.org/forestry/FOP/FOPW/NWFP/what-e.stm, 18 January 2002, viewed 29 April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2008.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FAO (2005).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International trade in fishery commodities by principal importers and exporters.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ftp://ftp.fao.org/fi/stat/summary/a3ybc.pdf, viewed 31 October 2007.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FAO (2007).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Stock Assessment for Napoleon Fish in Indonesia.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FAO Fisheries Circular No. 1023.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http://www.humpheadwrasse.info/C1023_Full_Pub.pdf, viewed 23rd November 2007.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FFI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Workshop Report.  CITES and Livelihoods Workshop.  Centre for Biodiversity</w:t>
      </w:r>
    </w:p>
    <w:p>
      <w:pPr>
        <w:autoSpaceDN w:val="0"/>
        <w:autoSpaceDE w:val="0"/>
        <w:widowControl/>
        <w:spacing w:line="268" w:lineRule="exact" w:before="5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Conservation, Kirstenbosch Botanical Garden, Cape Town, South Africa.  5–7 September 2006.</w:t>
      </w:r>
    </w:p>
    <w:p>
      <w:pPr>
        <w:autoSpaceDN w:val="0"/>
        <w:autoSpaceDE w:val="0"/>
        <w:widowControl/>
        <w:spacing w:line="320" w:lineRule="exact" w:before="2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Document CoP 14 Inf. 20.  Fourteenth meeting of the Conference of the Parties to CITES,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Hague, Netherlands, 3–15 June 2007.  Fauna and Flora International, Cambridge.</w:t>
      </w:r>
    </w:p>
    <w:p>
      <w:pPr>
        <w:autoSpaceDN w:val="0"/>
        <w:tabs>
          <w:tab w:pos="288" w:val="left"/>
          <w:tab w:pos="706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Fitzgerald, S. (1989).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International Wildlife Trade: Whose Business Is It?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World Wildlife Fund,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Washington DC, USA.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Foster, S. (2005).  Seahorses and CITES.  In: Koldewey H. (Ed.).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Syngnathid husbandry in public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aquariums.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Project Seahorse and the Zoological Society of London, London, UK.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Foster, S. J. and Vincent, A. C. J. (2004).  Life history and ecology of seahorses: implications for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conservation and management.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Journal of Fish Biology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65: 1–61.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Foster S. J. and Vincent A.C.J. (2005).  Enhancing sustainability of the international trade in seahorses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with a single maximum size limit.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Conservation Biology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19: 1044–1050.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Freese, C. (1998).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Wild Species as Commodities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Island Press, Washington DC, USA.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FSC (2000).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FSC Principles and Criteria for Forest Stewardship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Forest Stewardship Council, Bonn,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Germany.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Fusari, A. and Carpaneto G. M. (2006).  Subsistence hunting and conservation issues in the Game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Riserve of Gile, Mozambique.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Biodiversity and Conservation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15: 2477–2495.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Giles, B. G., Si Ky, T., Huu Hoan, D. and Vincent, A.C.J. (2005).  The catch and trade of seahorses 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Vietnam.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Biodiversity and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15(6): 2497–2513.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Global Witness (2001).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Cambodia : Colexim and Everbright logging companies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Global Witness,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London, UK.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Gonzales E., Maung Soe K., Mukherjee R., Nguyen S. H., Suspita A., Wattoo, J. M. and Bulcock, P.</w:t>
      </w:r>
    </w:p>
    <w:p>
      <w:pPr>
        <w:autoSpaceDN w:val="0"/>
        <w:autoSpaceDE w:val="0"/>
        <w:widowControl/>
        <w:spacing w:line="320" w:lineRule="exact" w:before="0" w:after="0"/>
        <w:ind w:left="288" w:right="20" w:firstLine="0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Regional Review of Livelihood Opportunities Related to Mariculture Development.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Paper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presented at: The Future of Mariculture: A Regional Approach for Responsible Development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Mariculture in the Asia-Pacific Region. Conference, China, March 2006.  FAO and NACA.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Gonzales, E. and Savaris, J. (2005).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Marine Ornamentals Trade in the Philippines and Options for its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Poor Stakeholders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Output 2 of International Seafood Trade: Supporting Sustainable Livelihoods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among Poor Aquatic Resource Users in Asia.  EC-PREP project (EP/R03/014).  Poseidon Aquatic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Resource Management Ltd, Network of Aquaculture Centres in Asia-Pacific (NACA) and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STREAM Initiative.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6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78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50" w:bottom="290" w:left="1416" w:header="720" w:footer="720" w:gutter="0"/>
          <w:cols w:space="720" w:num="1" w:equalWidth="0">
            <w:col w:w="9046" w:space="0"/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12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Hoffman, L. C. and Wiklund, E. (2006).  Game and venison—meat for the modern consumer.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Meat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Science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 74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(1): 197–208.</w:t>
      </w:r>
    </w:p>
    <w:p>
      <w:pPr>
        <w:autoSpaceDN w:val="0"/>
        <w:autoSpaceDE w:val="0"/>
        <w:widowControl/>
        <w:spacing w:line="314" w:lineRule="exact" w:before="0" w:after="0"/>
        <w:ind w:left="288" w:right="0" w:hanging="288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Hughes, T. P., Baird, A.H, Bellwood, D. R., Card, M., Connolly S. R., Folke C., Grosberg R., Hoegh-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Guldberg O., Jackson, J. B. C., Kleypas, J., Lough, J. M., Marshall, P., Nystrom, M., Palumbi, S.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R., Pandolfi, J. M., Rosen, B. and Roughgarden, J. (2003).  Climate change, human impacts and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resilience of coral reefs.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Science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301: 929–933.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Hurst, A. (2007).  The Institutional Challenges of Sustainable Bushmeat Management.  In: Davies, G.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Brown, D.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Bushmeat and Livelihoods: Wildlife Management and Poverty Reduction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Blackwells, Oxford,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Hutton, J. and Webb, G. (2003).  Crocodiles: legal trade snaps back.  In: Oldfield, S. (Ed.).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Trade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in Wildlife, Regulation for Conservation.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Earthscan, London,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ICTSD (2004).  EU Plans To Tackle Illegal Logging Criticised.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Bridges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4(14) 23 July 2004.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http://www.ictsd.org/biores/04–07-23/inbrief.htm, viewed 31 October 2007.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Iqbal, M. (1995).  Trade restrictions affecting international trade in non-wood forest products.  Food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Agriculture Organization, Rome, Italy.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864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IUCN (2007a).  Facts about threatened species. http://www.iucn.org/themes/ssc/redlist2007/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threatened_species_facts_2007.htm, viewed 31 October 2007.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IUCN (2007b).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2007 IUCN Red List of Threatened Species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IUCN, Gland, Switzerland.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http://www.iucnredlist.org/, viewed 15 November 2007.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Jaireth, H. and Smyth, D. (Eds)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Innovative Governance: Indigenous Peoples, Local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Communities and Protected Areas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Ane Books, New Delhi, India.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Jambiya, G. S., Milledge, S. and Mtango, N. (2007).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Night Time Spinach: Conservation and Livelihood</w:t>
      </w:r>
    </w:p>
    <w:p>
      <w:pPr>
        <w:autoSpaceDN w:val="0"/>
        <w:tabs>
          <w:tab w:pos="8122" w:val="left"/>
        </w:tabs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Implications of Wild Meat Use in Refugee Situations in North Western Tanzania.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TRAFFIC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East/Southern Africa, Dar es Salaam, Tanzania.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Johannes, R. E, Riepen, M. (1995).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Environmental, economic and social implications of the live fish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trade in Asia and the West Pacific.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Report to The Nature Conservancy and the South Pacific Forum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Fisheries Agency, Hawaii, USA.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Jones, J., Andrianhajaina, F., Ranambinintsoa, E., Hockley, N. and Ravoahangimalala, O. (2006). 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economic importance of freshwater crayfish harvesting in Madagascar and the potential of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community-based conservation to improve management.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Oryx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2(2): 168–175.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Koldewey, H. (2005).  Seahorses take to the world stage.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Live Reef Fish Information Bulletin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13: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33–34.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Kronen, M., Sauni, S., Sauni, L. F. and Vunisea, A. (2006).  A socioeconomic perspective on the live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reef fish food trade for small-scale artisanal fishers based on case studies from the Pacific.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Live Reef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Fish Information Bulletin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16: 33–36.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Kurien, J. (2005).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Responsible fish trade and food security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FAO Fisheries Technical Paper 456, Food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Agriculture Organization, Rome, Italy.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Kurien, J. (2006).  International Food Trade and Security: issues and perspectives.  In: Anderson, K. L.</w:t>
      </w:r>
    </w:p>
    <w:p>
      <w:pPr>
        <w:autoSpaceDN w:val="0"/>
        <w:autoSpaceDE w:val="0"/>
        <w:widowControl/>
        <w:spacing w:line="294" w:lineRule="exact" w:before="26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Thiery, C.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Information for Responsible Fisheries: Libraries as Mediators: proceedings</w:t>
      </w:r>
    </w:p>
    <w:p>
      <w:pPr>
        <w:autoSpaceDN w:val="0"/>
        <w:autoSpaceDE w:val="0"/>
        <w:widowControl/>
        <w:spacing w:line="268" w:lineRule="exact" w:before="5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of the 31st Annual Conference: Rome, Italy, October 10–14, 2005.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2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Lau, P. P. F., Parry-Jones, R. (1999).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Hong Kong Trade in Live Reef Fish for Food.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TRAFFIC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East Asia and WWF Hong Kong, Hong Kong, China.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79</w:t>
      </w:r>
    </w:p>
    <w:p>
      <w:pPr>
        <w:sectPr>
          <w:pgSz w:w="11713" w:h="16791"/>
          <w:pgMar w:top="678" w:right="1250" w:bottom="290" w:left="1416" w:header="720" w:footer="720" w:gutter="0"/>
          <w:cols w:space="720" w:num="1" w:equalWidth="0">
            <w:col w:w="9046" w:space="0"/>
            <w:col w:w="9046" w:space="0"/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Lee, C. and Sadovy, Y. (1998).  A taste for live fish: Hong Kong’s live reef fish market.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NAGA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21: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38–42.</w:t>
      </w:r>
    </w:p>
    <w:p>
      <w:pPr>
        <w:autoSpaceDN w:val="0"/>
        <w:autoSpaceDE w:val="0"/>
        <w:widowControl/>
        <w:spacing w:line="320" w:lineRule="exact" w:before="0" w:after="0"/>
        <w:ind w:left="288" w:right="0" w:hanging="288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Lichtenstein, G. and Renaudeau d’Arc, N. (undated).  Vicuña use by Andean communities: a risk or 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opportunity? http://www.google.co.uk/search?hl=en&amp;q=+Renaudeau+d%E2%80%99Arc+%2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Bvicuna+%2BLichtenstein&amp;btnG=Search&amp;meta=, viewed 29 April 2008.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Lichtenstein, G. and Vila, B, (2003).  Vicuna use by Andean Communities.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Mountain Research and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Development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23 (2): 198–202.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Lilley, G. (2001).  A review of Indonesian corals in trade with reference to their trade population status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and distribution in Indonesia.  Traffic/EC Project (DG Env.E.3).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Lourie, S. A., Foster, S. J., Cooper, E. W. T. and Vincent, A. C. .J. (2004).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A guide to the identification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of seahorses.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Project Seahorse and TRAFFIC North America.  University of British Colombia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World Wildlife Fund, Washington DC, USA.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MAC and Reefcheck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Law enforcement in the marine ornamental fishery in the Philippines.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Macfadyen, G., Phillips, M. and Haylor, G. (2005).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International Seafood Trade: Supporting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Sustainable Livelihoods among Poor Aquatic Resource Users in Asia.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(EP/R03/014).  Output 3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Synthesis Report with Pro-Poor Trade Research Findings and Policy recommendations.  Poseidon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Aquatic Resource Management Ltd, Network of Aquaculture Centres in Asia-Pacific (NACA)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the STREAM Initiative.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MacGregor, J. (2002).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International trade in crocodilian skins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IUCN-SSC Crocodile Specialist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Group.  http://flmnh.ufl.edu/herpetology/CROCS/MacGregorFinalDec2002.doc, viewed 29 April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2008.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MacGregor, J.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Call of the Wild: Captive Crocodilian Production and the Shaping of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Conservation Incentives.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TRAFFIC International, Cambridge,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MAMTI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Report on Roving Collectors: Case Studies from Indonesia and the Philippines.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Technical Paper, Marine Aquarium Management Transformation Initiative.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MAMTI and MAC, (2007).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Narrative Report July–December 2006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Marine Aquarium Market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Transformation Initiative and Marine Aquarium Council. Submitted to International Finance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Corporation.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March, I. J. (1993).  The White-lipped Peccary (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Tayassu pecari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).  In: Oliver, W. L. R. (Ed.).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Pigs,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Peccaries and Hippos: Status Survey and Action Plan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IUCN, Gland, Switzerland.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Marris, E. (2006).  Bushmeat surveyed in Western cities.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Nature News.</w:t>
      </w:r>
    </w:p>
    <w:p>
      <w:pPr>
        <w:autoSpaceDN w:val="0"/>
        <w:autoSpaceDE w:val="0"/>
        <w:widowControl/>
        <w:spacing w:line="292" w:lineRule="exact" w:before="28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Marshall, E., Schrekenburg, K. and Newton, A.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Commercialization of Non-timber Forest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Products: Factors Influencing Success: Lessons Learned from Mexico and Bolivia and Policy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Implications for Decision-makers.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UNEP-WCMC, Cambridge, UK.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Martin, R. B. (2000).  When CITES works and when it does not.  In Hutton J. M. and Dickson, B.</w:t>
      </w:r>
    </w:p>
    <w:p>
      <w:pPr>
        <w:autoSpaceDN w:val="0"/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Endangered Species, Threatened Convention—the Past, Present and Future of CITES.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Earthscan, London, UK.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Martin-Smith K. M., Samoilys, M. A., Meeuwig, J. J. and Vincent, A. C. J. (2004).  Collaborative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development of management options for an artisanal fishery for seahorses in the central Philippines.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Ocean and Coastal Management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47:165–193.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Martin-Smith, K. M., Vincent, A. C. J. (2006).  Exploitation and trade of Australian seahorses,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pipehorses, sea dragons and pipefishes (Family Sygnathidae).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Oryx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40(2): 141–151.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80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46" w:space="0"/>
            <w:col w:w="9046" w:space="0"/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14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Meeuwig, J., Samoilys, M. A., Erediano, J. and Hall, H. (2003).  Fishers’ Perceptions on the Seahorse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Fishery in Central Philippines: Interactive approaches and an evaluation of results.  In: Haggan, N.,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Brignall, C. and Wood, L.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Putting Fishers’ Knowledge to Work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FCRR 11(1): 228–204.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Meeuwig, J. J., Hoang, D. H., Ky, T. S., Job, S. D., VIncent, A. C. J. (2006).  Quantifying non-target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seahorse fisheries in central Vietnam.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Fisheries Research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81:149–157.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Mendelson, S., Cowlishaw, G. and Rowcliffe, J. M. (2003).  Anatomy of a Bushmeat commodity chain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Takoradi, Ghana.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Journal of Peasant Studies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31(1): 73–100.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 Merode E., Homewood, K. and Cowlishaw, G.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Wild resources and livelihoods of poor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households in Democratic Republic of Congo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Overseas Development Institute Wildlife Policy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Briefing series, no. 1. ODI, London.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 Merode, E., Homewood, K. and Cowlishaw, G. (2004).  The value of bushmeat and other wild foods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to rural households living in extreme poverty in Democratic Republic of Congo.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Biological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(118): 573–581.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Milledge, S. A. H., Gelvas, I. K. and Ahrends, A. (2007).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Forestry, Governance and National</w:t>
      </w:r>
    </w:p>
    <w:p>
      <w:pPr>
        <w:autoSpaceDN w:val="0"/>
        <w:autoSpaceDE w:val="0"/>
        <w:widowControl/>
        <w:spacing w:line="268" w:lineRule="exact" w:before="5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Development: Lessons Learned from a Logging Boom in Southern Tanzania. An Overview.</w:t>
      </w:r>
    </w:p>
    <w:p>
      <w:pPr>
        <w:autoSpaceDN w:val="0"/>
        <w:autoSpaceDE w:val="0"/>
        <w:widowControl/>
        <w:spacing w:line="320" w:lineRule="exact" w:before="2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TRAFFIC East/Southern Africa/Tanzania Development Partners Group/Ministry of Natural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Resources of Tourism, Dar es Salaam, Tanzania.  16 pp.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Millennium Ecosystem Assessment (2005a).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Ecosystems and Human Well-being: Biodiversity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Synthesis.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World Resources Institute, Washington DC, USA.</w:t>
      </w:r>
    </w:p>
    <w:p>
      <w:pPr>
        <w:autoSpaceDN w:val="0"/>
        <w:autoSpaceDE w:val="0"/>
        <w:widowControl/>
        <w:spacing w:line="320" w:lineRule="exact" w:before="0" w:after="0"/>
        <w:ind w:left="0" w:right="20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Millennium Ecosystem Assessment (2005b).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Ecosystems and Human Well-Being: Current State and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Trends: Findings of the Condition and Trends Working Group.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Island Press, Washington DC, USA.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Molade, F. S. (1999).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Contribution of Bush meat to Food Security in selected West African Countries,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Report for FAO Regional Office for Africa.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Moreau, M.-A. and Coomes, O. T (2006).  Potential threat of the international aquarium trade to silver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arawana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Osteoglossum bicirrhosum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 the Peruvian Amazon.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Oryx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40(2): 152–159.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MRAG (2005).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Review of Impacts of Illegal, Unreported and Unregulated Fishing on Developing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Countries. Synthesis Report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Marine Resources Assessment Group, London,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Muldoon, G., Peterson, L. and Johnston, B. (2005).  Economic and market analysis of the live reef food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 trade in the Asia-Pacific region.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SPC Live Reef Fish Information Bulletin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13: 35–41.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Mulliken, T. A. and Thomsen, J. B. (1995).  International trade.  In: Abramson, J., Speer, B. L.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Thomsen, J. B.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The Large Macaws: their Care, Breeding and Conservation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Raintree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Publications, Hong Kong.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Nasi, R. and Cunningham, T. (2001).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Sustainable Management of Non-forest Timber Resources: a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Review with Recommendations for SBSTTA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Secretariat to the Convention on Biological Diversity,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Montreal, Canada.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Neumann, R. P. and Hirsch, E. (2000).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Commercialisation of Non-Timber Forest Products: Review and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Analysis of Research.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CIFOR, Bogor, Indonesia.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Nielsen, M. R. (2006).  Importance, cause and effect of bushmeat hunting in the Udzungwa Mountains,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Tanzania: Implications for community based wildlife management.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Biological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(128):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509–516.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Nogueira-Filho, S. L. G. and Nogueira, S. S. C. (2004).  Captive breeding programs as an alternative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for wildlife conservation in Brazil.  Chap. 11.  In: Silvius, K., Bodmer, R. and Fragoso, J. (Eds)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People in Nature: Wildlife Conservation in South and Central America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Columbia University Press,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New York, USA. 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62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81</w:t>
      </w:r>
    </w:p>
    <w:p>
      <w:pPr>
        <w:sectPr>
          <w:pgSz w:w="11713" w:h="16791"/>
          <w:pgMar w:top="678" w:right="1250" w:bottom="290" w:left="1416" w:header="720" w:footer="720" w:gutter="0"/>
          <w:cols w:space="720" w:num="1" w:equalWidth="0">
            <w:col w:w="9046" w:space="0"/>
            <w:col w:w="9048" w:space="0"/>
            <w:col w:w="9046" w:space="0"/>
            <w:col w:w="9046" w:space="0"/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Norton-Griffiths, M. (2003).  How many wildebeest do you need?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Kenya Past and Present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2003(34).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East African Wildlife Society, Nairobi, Kenya.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Ntiamoa-Baidu, Y. (1987).  West African wildlife: a resource in jeopardy.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Unalsylva: Tropical Rain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Forest Management—a Status Report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39, 156.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Ntiamoa-Baidu, Y. (1997).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Wildlife and Food Security in Africa.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FAO Conservation Guide No 33.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Food and Agriculture Organization, Rome, Italy.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Ojasti, J. (1996).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Wildlife Utilisation in Latin America–current situation and prospects for sustainable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management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FAO Conservation Guide 25.  Food and Agriculture Organization, Rome, Italy.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Oldfield, S. (Ed.).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Trade in Wildlife, Regulation for Conservation.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Earthscan, London, UK.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Olsen, C. S. (1999).  CITES Appendix II re-visited: is the listing of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Nardostachys grandiflora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Picrorhiza kurrooa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appropriate?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Medicinal Plant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5, 8–10.</w:t>
      </w:r>
    </w:p>
    <w:p>
      <w:pPr>
        <w:autoSpaceDN w:val="0"/>
        <w:autoSpaceDE w:val="0"/>
        <w:widowControl/>
        <w:spacing w:line="320" w:lineRule="exact" w:before="0" w:after="0"/>
        <w:ind w:left="288" w:right="74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Pajaro, M. G., Vincent, A. C. J., Buhat, D. Y. and Perante, N. C. (1997).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role of seahorse fishers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 conservation and management.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First International Conference in Marine Conservation, Hong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Kong, 1996.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Pajaro M. G., Meeuwig J. J., Giles, B. G., Vincent, A. C. J. (2004).  Biology, fishery and trade of sea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moths (Pisces: Pegasidae) in the central Philippines.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Oryx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38: 432–438.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Prescott-Allen, R. and Prescott-Allen, C. (1982).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What’s Wildlife Worth? Economic Contributions of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Wild Plants and Animals to Developing Countries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Earthscan, London,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Reefcheck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Annual Report 2006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http://www.reefcheck.org/PDFs/annualreport2006.pdf,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viewed 30 April 2008.</w:t>
      </w:r>
    </w:p>
    <w:p>
      <w:pPr>
        <w:autoSpaceDN w:val="0"/>
        <w:autoSpaceDE w:val="0"/>
        <w:widowControl/>
        <w:spacing w:line="320" w:lineRule="exact" w:before="0" w:after="0"/>
        <w:ind w:left="288" w:right="74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Rijsoort, van J. (2000).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Non-Timber Forest Products (NTFPs): Their Role in Sustainable Forest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Management in the Tropics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Theme Studies Series., National Reference Centre for Nature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Management, Wageningen, Netherlands.</w:t>
      </w:r>
    </w:p>
    <w:p>
      <w:pPr>
        <w:autoSpaceDN w:val="0"/>
        <w:autoSpaceDE w:val="0"/>
        <w:widowControl/>
        <w:spacing w:line="320" w:lineRule="exact" w:before="0" w:after="0"/>
        <w:ind w:left="288" w:right="74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Roe, D., Mulliken, T., Milledge, S., Mremi, J., Mosha, S. and Grieg-Gran, M. (2002).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Making a Killing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or Making a Living? Wildlife Trade, Trade Controls and Rural Livelihoods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IIED, London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TRAFFIC International, Cambridge,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de Roy, T. (2002).  Return of the Golden Fleece: Peru’s elegant Vicuñas thrive again but are they as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wild as ever?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International Wildlife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Jan.–Feb., 2002.</w:t>
      </w:r>
    </w:p>
    <w:p>
      <w:pPr>
        <w:autoSpaceDN w:val="0"/>
        <w:autoSpaceDE w:val="0"/>
        <w:widowControl/>
        <w:spacing w:line="320" w:lineRule="exact" w:before="0" w:after="0"/>
        <w:ind w:left="288" w:right="74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Sadovy, Y. J., Donaldson, T. J., Graham, T. R., McGilvray, F., Muldoon, G. J., Phillips, M. J., Rimmer,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M. A., Smith, A. and Yeeting, B.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While stocks last: the live food reef fish trade.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Asian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Development Bank, Manila, Philippines.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Sadovy, Y., Domeier, M. (2004).  Are aggregation-fisheries sustainable? Reef fish fisheries as a case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study.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Coral Reefs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24: 254–262.</w:t>
      </w:r>
    </w:p>
    <w:p>
      <w:pPr>
        <w:autoSpaceDN w:val="0"/>
        <w:autoSpaceDE w:val="0"/>
        <w:widowControl/>
        <w:spacing w:line="320" w:lineRule="exact" w:before="0" w:after="0"/>
        <w:ind w:left="288" w:right="74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Sadovy, Y., Kulbicki, M., Labrosse, P., Letourneur, Y., Lokani,. P. and Donaldson, T. J. (2004).  The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humphead wrasse, Cheilinus undulatus: synopsis of a threatened and poorly known giant coral reef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fish.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Reviews in Fish Biology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13: 327–364.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Sahley, C. T., Vargas, J. T. and Valdivia, J. S. (2004).  Community ownership and live-shearing of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vicunas in Peru.  Chap. 10.  In: Silvius, K., Bodmer, R. and Fragoso, J.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People in Nature: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Wildlife Conservation in South and Central America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Columbia University Press, New York, USA.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Sahley, C. T., Vargas, J. T. and Valdivia, J. S. (2007).  Biological Sustainability of Live Shearing of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Vicuna in Peru.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Conservation Biology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21(1): 98–105.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Salin, K. R., Yohannan, T. M. (2005).  Fisheries and trade of seahorses, Hippocampus spp., in southern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India.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Fisheries Management and Ecology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12: 269–273.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94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82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196" w:bottom="290" w:left="1416" w:header="720" w:footer="720" w:gutter="0"/>
          <w:cols w:space="720" w:num="1" w:equalWidth="0">
            <w:col w:w="9099" w:space="0"/>
            <w:col w:w="9046" w:space="0"/>
            <w:col w:w="9048" w:space="0"/>
            <w:col w:w="9046" w:space="0"/>
            <w:col w:w="9046" w:space="0"/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autoSpaceDE w:val="0"/>
        <w:widowControl/>
        <w:spacing w:line="292" w:lineRule="exact" w:before="0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Samoilys, M. A., Martin-Smith, K. M., Giles, B. G., Carbrera, B., Anticamara, J. A. and Vincent, A. C.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J. (2007).  Effectiveness of five small Philippines’ coral reef reserves for fish populations depends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on site-specific factors, particularly enforcement history.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Biological Conservation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126: 584–601.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Sattherthwaite, D.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Millennium Development Goals and Local Processes.  Hitting the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target or Missing the Point?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International Institute for Environment and Development, London,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Scales, H., Balmford, A., Liu M., Sadovy, Y. and Manica, A. (2006).  Keeping bandits at bay?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Science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313: 612–613.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Scoones, I., Melnyk, M. and Pretty, J. (1992).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Hidden Harvest: Wild Foods and Agricultural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Systems: A Literature Review and Annotated Bibliography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IIED, London, UK.</w:t>
      </w:r>
    </w:p>
    <w:p>
      <w:pPr>
        <w:autoSpaceDN w:val="0"/>
        <w:autoSpaceDE w:val="0"/>
        <w:widowControl/>
        <w:spacing w:line="320" w:lineRule="exact" w:before="0" w:after="0"/>
        <w:ind w:left="288" w:right="0" w:hanging="288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Schippmann, U., Leaman, D. and Cunningham, A. B. (2006).  A comparison of cultivation and wild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collection of medicinal and aromatic plants under sustainability aspects.  In: Bogers, R., Craker, L.</w:t>
      </w:r>
    </w:p>
    <w:p>
      <w:pPr>
        <w:autoSpaceDN w:val="0"/>
        <w:autoSpaceDE w:val="0"/>
        <w:widowControl/>
        <w:spacing w:line="294" w:lineRule="exact" w:before="26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and Lange, D. (Eds).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Proceedings, Frontis Workshop on Medicinal and Aromatic Plants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</w:t>
      </w:r>
    </w:p>
    <w:p>
      <w:pPr>
        <w:autoSpaceDN w:val="0"/>
        <w:autoSpaceDE w:val="0"/>
        <w:widowControl/>
        <w:spacing w:line="268" w:lineRule="exact" w:before="5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>Wageningen, The Netherlands, 17–20 April 2005.</w:t>
      </w:r>
    </w:p>
    <w:p>
      <w:pPr>
        <w:autoSpaceDN w:val="0"/>
        <w:autoSpaceDE w:val="0"/>
        <w:widowControl/>
        <w:spacing w:line="320" w:lineRule="exact" w:before="2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Setsaas, T. H., Holmern, T., Mwakalebeb, G., Stokkec, S.  and Røskaft, E. (2007).  How does human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exploitation affect impala populations in protected and partially protected areas?—a case study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from the Serengeti Ecosystem, Tanzania.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Biological Conservation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136(4): 563–570.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Shuman, C. S., Hodgson, G. and Ambrose, R. F. (2004).  Managing the marine aquarium trade: is eco-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certification the answer?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Environmental Conservation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31: 339–348.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Shyamsundar, P., Araral, E., Weeraratne, S. (2005).  Devolution of Resource Rights, Poverty and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Natural Resource Management: A Review. Environmental Economics Series.  World Bank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Environment Department, Washington DC, USA.</w:t>
      </w:r>
    </w:p>
    <w:p>
      <w:pPr>
        <w:autoSpaceDN w:val="0"/>
        <w:autoSpaceDE w:val="0"/>
        <w:widowControl/>
        <w:spacing w:line="320" w:lineRule="exact" w:before="0" w:after="0"/>
        <w:ind w:left="288" w:right="22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Singh, S., Boonratana, R., Bezuijen, M. and Phonvisay, A. (2006a).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Trade in Natural Resources in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Attapeu Province, Lao PDR: An assessment of the wildlife trade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TRAFFIC, MWBP, Vientiane,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Lao PDR.</w:t>
      </w:r>
    </w:p>
    <w:p>
      <w:pPr>
        <w:autoSpaceDN w:val="0"/>
        <w:autoSpaceDE w:val="0"/>
        <w:widowControl/>
        <w:spacing w:line="320" w:lineRule="exact" w:before="0" w:after="0"/>
        <w:ind w:left="0" w:right="22" w:firstLine="0"/>
        <w:jc w:val="righ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Singh, S., Boonratana, R., Bezuijen, M. and Ko, S. (2006b).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Trade in Natural Resources in Stung Treng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Province, Cambodia: An assessment of the wildlife trade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TRAFFIC, MWBP, Vientiane, Lao PDR.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Smith, A. J. (1997).  Live reef fisheries activies in the Republic of the Marshall Islands.  SPC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Live Reef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Fish Information Bulletin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3: 14–15.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Stoner, K. E., Vulinec, K., Wright, S. J. and Peres, C. A. (2007).  Hunting and Plant Community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Dynamics in Tropical Forests: A Synthesis and Future Directions.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BIOTROPICA</w:t>
      </w:r>
      <w:r>
        <w:rPr>
          <w:rFonts w:ascii="TimesNewRomanPS" w:hAnsi="TimesNewRomanPS" w:eastAsia="TimesNewRomanPS"/>
          <w:b/>
          <w:i w:val="0"/>
          <w:color w:val="000000"/>
          <w:sz w:val="22"/>
        </w:rPr>
        <w:t xml:space="preserve"> 39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(3): 385–392.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Sunderland, T., Balinga, M. and Dione, M. (2004).  The rattan sector of Rio Muni, Equatorial Guinea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In:  Sunderland, T. and Ndoye, O.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Forest Products, Livelihoods and Conservation.  Case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Studies of Non-Timber Forest Product Systems. Volume 2 Africa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CIFOR, Bogor, Indonesia.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ten Kate, K. and Laird, S. A. (1999).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The Commercial Use of Biodiversity: Access to Genetic Resources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and Benefit Sharing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Earthscan, London, 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Thorbjarnarson, J. (1999).  Crocodile tears and skins: international trade, economic constraints and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limits to the sustainable use of crocodilians.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Conservation Biology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13(3): 465–470.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Thorbjarnarson, J. and Velasco, A. (1999).  Economic incentives for management of Venezuelan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caiman.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Conservation Biology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13(2): 397–406.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TRAFFIC (2008).  Wildlife trade: what is it?  http://www.traffic.org/trade/, viewed 2 May 2008.</w:t>
      </w:r>
    </w:p>
    <w:p>
      <w:pPr>
        <w:autoSpaceDN w:val="0"/>
        <w:tabs>
          <w:tab w:pos="8744" w:val="left"/>
        </w:tabs>
        <w:autoSpaceDE w:val="0"/>
        <w:widowControl/>
        <w:spacing w:line="242" w:lineRule="auto" w:before="158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TRADING NATURE:Wildlife trade and the Millennium Development Goals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83</w:t>
      </w:r>
    </w:p>
    <w:p>
      <w:pPr>
        <w:sectPr>
          <w:pgSz w:w="11713" w:h="16791"/>
          <w:pgMar w:top="678" w:right="1248" w:bottom="290" w:left="1416" w:header="720" w:footer="720" w:gutter="0"/>
          <w:cols w:space="720" w:num="1" w:equalWidth="0">
            <w:col w:w="9048" w:space="0"/>
            <w:col w:w="9099" w:space="0"/>
            <w:col w:w="9046" w:space="0"/>
            <w:col w:w="9048" w:space="0"/>
            <w:col w:w="9046" w:space="0"/>
            <w:col w:w="9046" w:space="0"/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458"/>
        <w:ind w:left="0" w:right="0"/>
      </w:pPr>
    </w:p>
    <w:p>
      <w:pPr>
        <w:autoSpaceDN w:val="0"/>
        <w:tabs>
          <w:tab w:pos="288" w:val="left"/>
        </w:tabs>
        <w:autoSpaceDE w:val="0"/>
        <w:widowControl/>
        <w:spacing w:line="306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UNFPA (2007).  State of World Population 2007: Unleashing the Potential of Urban Growth.  United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Nations Population Fund, New York, USA.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United Nations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Report of the Secretary General on the Work of the Organization,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United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Nations, New York, USA. 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Vedeld, P, Angelsen, A., Sjaastad, E. and Kobugabe-Berg, G. (2004).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Counting on the Environment: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Forest Incomes and the Rural Poor. 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Environment Department Paper No. 98.  World Bank.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Washington DC, USA.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Velasco, A. and de Sola, R. (2005).  Exportaciones de pieles de cocodrilos desde Latino América y el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Caribe.  In: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Reunión Regional de América Latina y el Caribe del Grupo de Especialistas en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Cocodrilos (CSG/SSC/IUCN) 17 al 20 de mayo 2005.  Santa Fe, Argentina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Pp: 127–143.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Vincent, A. C. J. (1996).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 The International Trade in Seahorses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TRAFFIC International, Cambridge,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UK.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Vincent, A. C. J. (1997).  Sustainability of seahorse fishing.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Proceedings of the Eighth International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Coral Reef Symposium, Panama, 1996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Pp 2045–2050. 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Wabnitz, C., Taylor, M., Green, E. and Razak, T.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From Ocean to Aquarium: The global trade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in marine ornamental species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 UNEP/WCMC, Cambridge, UK.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WCMC/IUCN-SSC/TRAFFIC (1999).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Review of Significant Trade in Animal Species included in</w:t>
      </w:r>
    </w:p>
    <w:p>
      <w:pPr>
        <w:autoSpaceDN w:val="0"/>
        <w:autoSpaceDE w:val="0"/>
        <w:widowControl/>
        <w:spacing w:line="320" w:lineRule="exact" w:before="0" w:after="0"/>
        <w:ind w:left="288" w:right="20" w:firstLine="0"/>
        <w:jc w:val="both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CITES Appendix II.  Detailed Reviews of 37 species.  Draft Report to the CITES Animals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Committee, May 1999.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Prepared by the World Conservation Monitoring Centre, IUCN Species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Survival Commission and TRAFFIC Network. </w:t>
      </w:r>
    </w:p>
    <w:p>
      <w:pPr>
        <w:autoSpaceDN w:val="0"/>
        <w:autoSpaceDE w:val="0"/>
        <w:widowControl/>
        <w:spacing w:line="320" w:lineRule="exact" w:before="0" w:after="0"/>
        <w:ind w:left="288" w:right="20" w:hanging="288"/>
        <w:jc w:val="both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Wheeler, J. C. and Hoces, D. R. (1997).  Community Participation, Sustainable Use and Vicuña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Conservation in Peru.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 Mountain Research and Development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17(3).  The United Nations University,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Managing Fragile Ecosystems in the Andes.  Pp. 283–287.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12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Whittingham, E., Campbell, J. and Townsley, P. (2003).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Poverty and Reefs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. DFID-IMM-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IOC/UNESCO.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31"/>
        <w:gridCol w:w="1131"/>
        <w:gridCol w:w="1131"/>
        <w:gridCol w:w="1131"/>
        <w:gridCol w:w="1131"/>
        <w:gridCol w:w="1131"/>
        <w:gridCol w:w="1131"/>
        <w:gridCol w:w="1131"/>
      </w:tblGrid>
      <w:tr>
        <w:trPr>
          <w:trHeight w:hRule="exact" w:val="320"/>
        </w:trPr>
        <w:tc>
          <w:tcPr>
            <w:tcW w:type="dxa" w:w="8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WHO </w:t>
            </w:r>
          </w:p>
        </w:tc>
        <w:tc>
          <w:tcPr>
            <w:tcW w:type="dxa" w:w="15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264" w:right="0" w:firstLine="0"/>
              <w:jc w:val="lef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(2003). </w:t>
            </w:r>
          </w:p>
        </w:tc>
        <w:tc>
          <w:tcPr>
            <w:tcW w:type="dxa" w:w="18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8" w:after="0"/>
              <w:ind w:left="0" w:right="234" w:firstLine="0"/>
              <w:jc w:val="right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Traditional </w:t>
            </w:r>
          </w:p>
        </w:tc>
        <w:tc>
          <w:tcPr>
            <w:tcW w:type="dxa" w:w="14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8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Medicine </w:t>
            </w:r>
          </w:p>
        </w:tc>
        <w:tc>
          <w:tcPr>
            <w:tcW w:type="dxa" w:w="9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8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 xml:space="preserve">Fact </w:t>
            </w:r>
          </w:p>
        </w:tc>
        <w:tc>
          <w:tcPr>
            <w:tcW w:type="dxa" w:w="102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68" w:lineRule="exact" w:before="38" w:after="0"/>
              <w:ind w:left="0" w:right="0" w:firstLine="0"/>
              <w:jc w:val="center"/>
            </w:pPr>
            <w:r>
              <w:rPr>
                <w:rFonts w:ascii="TimesNewRomanPS" w:hAnsi="TimesNewRomanPS" w:eastAsia="TimesNewRomanPS"/>
                <w:b w:val="0"/>
                <w:i/>
                <w:color w:val="000000"/>
                <w:sz w:val="22"/>
              </w:rPr>
              <w:t>Sheet</w:t>
            </w:r>
          </w:p>
        </w:tc>
        <w:tc>
          <w:tcPr>
            <w:tcW w:type="dxa" w:w="8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center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 xml:space="preserve">No </w:t>
            </w:r>
          </w:p>
        </w:tc>
        <w:tc>
          <w:tcPr>
            <w:tcW w:type="dxa" w:w="6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94" w:lineRule="exact" w:before="14" w:after="0"/>
              <w:ind w:left="0" w:right="0" w:firstLine="0"/>
              <w:jc w:val="right"/>
            </w:pPr>
            <w:r>
              <w:rPr>
                <w:rFonts w:ascii="TimesNewRomanPSMT" w:hAnsi="TimesNewRomanPSMT" w:eastAsia="TimesNewRomanPSMT"/>
                <w:b w:val="0"/>
                <w:i w:val="0"/>
                <w:color w:val="000000"/>
                <w:sz w:val="22"/>
              </w:rPr>
              <w:t>134</w:t>
            </w:r>
          </w:p>
        </w:tc>
      </w:tr>
    </w:tbl>
    <w:p>
      <w:pPr>
        <w:autoSpaceDN w:val="0"/>
        <w:autoSpaceDE w:val="0"/>
        <w:widowControl/>
        <w:spacing w:line="294" w:lineRule="exact" w:before="14" w:after="0"/>
        <w:ind w:left="288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http://www.who.int/mediacentre/factsheets/fs134/en/, viewed 31 October 2007.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Wollenberg, E. and Belcher, B. (2001).  NTFPs—Income for rural populations or not?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ETFRN News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32(1): 30–32.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Wood, E. M. (2001).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Collection of coral reef fish for aquaria: global trade, conservation issues and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management strategies.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Marine Conservation Society,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WorldFish Center (2005).  Fish and the MDGs: Solutions for Africa WorldFish Center </w:t>
      </w:r>
      <w:r>
        <w:br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World Resources Institute (2005).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World Resources 2005: the wealth of the poor–managing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ecosystems to fight poverty.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UNEP/UNDP/WRI/World Bank, Washington DC, USA.</w:t>
      </w:r>
    </w:p>
    <w:p>
      <w:pPr>
        <w:autoSpaceDN w:val="0"/>
        <w:tabs>
          <w:tab w:pos="288" w:val="left"/>
        </w:tabs>
        <w:autoSpaceDE w:val="0"/>
        <w:widowControl/>
        <w:spacing w:line="320" w:lineRule="exact" w:before="0" w:after="0"/>
        <w:ind w:left="0" w:right="0" w:firstLine="0"/>
        <w:jc w:val="left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WWF (2006).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Species and People: Linked Futures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.  WWF International, Gland, Switzerland.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Wynberg, R. (2004).  Achieving a fair and sustainable trade in devil’s claw (Harpagophytum spp.).  In: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Sunderland T. and Ndoye, O. (Eds).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Forest Products, Livelihoods and Conservation. Case Studies </w:t>
      </w:r>
      <w:r>
        <w:tab/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of Non-Timber Forest Product Systems. Volume 2 Africa.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 CIFOR, Bogor, Indonesia.</w:t>
      </w:r>
    </w:p>
    <w:p>
      <w:pPr>
        <w:autoSpaceDN w:val="0"/>
        <w:autoSpaceDE w:val="0"/>
        <w:widowControl/>
        <w:spacing w:line="294" w:lineRule="exact" w:before="26" w:after="0"/>
        <w:ind w:left="0" w:right="0" w:firstLine="0"/>
        <w:jc w:val="center"/>
      </w:pP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Zimbabwe National Vulnerability Assessment Committee (2002).  </w:t>
      </w:r>
      <w:r>
        <w:rPr>
          <w:rFonts w:ascii="TimesNewRomanPS" w:hAnsi="TimesNewRomanPS" w:eastAsia="TimesNewRomanPS"/>
          <w:b w:val="0"/>
          <w:i/>
          <w:color w:val="000000"/>
          <w:sz w:val="22"/>
        </w:rPr>
        <w:t>Zimbabwe Emergency Food</w:t>
      </w:r>
    </w:p>
    <w:p>
      <w:pPr>
        <w:autoSpaceDN w:val="0"/>
        <w:tabs>
          <w:tab w:pos="4808" w:val="left"/>
        </w:tabs>
        <w:autoSpaceDE w:val="0"/>
        <w:widowControl/>
        <w:spacing w:line="320" w:lineRule="exact" w:before="0" w:after="0"/>
        <w:ind w:left="288" w:right="0" w:firstLine="0"/>
        <w:jc w:val="left"/>
      </w:pPr>
      <w:r>
        <w:rPr>
          <w:rFonts w:ascii="TimesNewRomanPS" w:hAnsi="TimesNewRomanPS" w:eastAsia="TimesNewRomanPS"/>
          <w:b w:val="0"/>
          <w:i/>
          <w:color w:val="000000"/>
          <w:sz w:val="22"/>
        </w:rPr>
        <w:t xml:space="preserve">Security and Vulnerability Assessment Report. </w:t>
      </w:r>
      <w:r>
        <w:tab/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Zimbabwe National Vulnerability Assessment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 xml:space="preserve">Committee, in collaboration with the SADC FANR Vulnerability Assessment Committee.  Harare, </w:t>
      </w:r>
      <w:r>
        <w:rPr>
          <w:rFonts w:ascii="TimesNewRomanPSMT" w:hAnsi="TimesNewRomanPSMT" w:eastAsia="TimesNewRomanPSMT"/>
          <w:b w:val="0"/>
          <w:i w:val="0"/>
          <w:color w:val="000000"/>
          <w:sz w:val="22"/>
        </w:rPr>
        <w:t>Zimbabwe.</w:t>
      </w:r>
    </w:p>
    <w:p>
      <w:pPr>
        <w:autoSpaceDN w:val="0"/>
        <w:tabs>
          <w:tab w:pos="4090" w:val="left"/>
        </w:tabs>
        <w:autoSpaceDE w:val="0"/>
        <w:widowControl/>
        <w:spacing w:line="242" w:lineRule="auto" w:before="1260" w:after="0"/>
        <w:ind w:left="20" w:right="0" w:firstLine="0"/>
        <w:jc w:val="left"/>
      </w:pP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 xml:space="preserve">84 </w:t>
      </w:r>
      <w:r>
        <w:tab/>
      </w:r>
      <w:r>
        <w:rPr>
          <w:w w:val="97.50000238418579"/>
          <w:rFonts w:ascii="GillSansMT" w:hAnsi="GillSansMT" w:eastAsia="GillSansMT"/>
          <w:b w:val="0"/>
          <w:i w:val="0"/>
          <w:color w:val="919191"/>
          <w:sz w:val="16"/>
        </w:rPr>
        <w:t>TRADING NATURE:Wildlife trade and the Millennium Development Goals</w:t>
      </w:r>
    </w:p>
    <w:p>
      <w:pPr>
        <w:sectPr>
          <w:pgSz w:w="11713" w:h="16791"/>
          <w:pgMar w:top="678" w:right="1250" w:bottom="290" w:left="1416" w:header="720" w:footer="720" w:gutter="0"/>
          <w:cols w:space="720" w:num="1" w:equalWidth="0">
            <w:col w:w="9046" w:space="0"/>
            <w:col w:w="9048" w:space="0"/>
            <w:col w:w="9099" w:space="0"/>
            <w:col w:w="9046" w:space="0"/>
            <w:col w:w="9048" w:space="0"/>
            <w:col w:w="9046" w:space="0"/>
            <w:col w:w="9046" w:space="0"/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sectPr>
          <w:pgSz w:w="11713" w:h="16791"/>
          <w:pgMar w:top="1440" w:right="1440" w:bottom="1440" w:left="1440" w:header="720" w:footer="720" w:gutter="0"/>
          <w:cols w:space="720" w:num="1" w:equalWidth="0">
            <w:col w:w="9046" w:space="0"/>
            <w:col w:w="9048" w:space="0"/>
            <w:col w:w="9099" w:space="0"/>
            <w:col w:w="9046" w:space="0"/>
            <w:col w:w="9048" w:space="0"/>
            <w:col w:w="9046" w:space="0"/>
            <w:col w:w="9046" w:space="0"/>
            <w:col w:w="9046" w:space="0"/>
            <w:col w:w="9048" w:space="0"/>
            <w:col w:w="9048" w:space="0"/>
            <w:col w:w="9048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3380" w:space="0"/>
            <w:col w:w="5668" w:space="0"/>
            <w:col w:w="9048" w:space="0"/>
            <w:col w:w="9048" w:space="0"/>
            <w:col w:w="9048" w:space="0"/>
            <w:col w:w="3350" w:space="0"/>
            <w:col w:w="569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58" w:space="0"/>
            <w:col w:w="9078" w:space="0"/>
            <w:col w:w="9048" w:space="0"/>
            <w:col w:w="5180" w:space="0"/>
            <w:col w:w="3868" w:space="0"/>
            <w:col w:w="9048" w:space="0"/>
            <w:col w:w="4016" w:space="0"/>
            <w:col w:w="5032" w:space="0"/>
            <w:col w:w="9048" w:space="0"/>
            <w:col w:w="5181" w:space="0"/>
            <w:col w:w="3866" w:space="0"/>
            <w:col w:w="9048" w:space="0"/>
            <w:col w:w="5181" w:space="0"/>
            <w:col w:w="3866" w:space="0"/>
            <w:col w:w="9048" w:space="0"/>
            <w:col w:w="9048" w:space="0"/>
            <w:col w:w="8978" w:space="0"/>
            <w:col w:w="4606" w:space="0"/>
            <w:col w:w="4372" w:space="0"/>
            <w:col w:w="8978" w:space="0"/>
            <w:col w:w="9048" w:space="0"/>
            <w:col w:w="5721" w:space="0"/>
            <w:col w:w="3326" w:space="0"/>
            <w:col w:w="9048" w:space="0"/>
            <w:col w:w="9048" w:space="0"/>
            <w:col w:w="9048" w:space="0"/>
            <w:col w:w="8958" w:space="0"/>
            <w:col w:w="9048" w:space="0"/>
            <w:col w:w="9048" w:space="0"/>
            <w:col w:w="8958" w:space="0"/>
            <w:col w:w="9048" w:space="0"/>
            <w:col w:w="9048" w:space="0"/>
            <w:col w:w="9048" w:space="0"/>
            <w:col w:w="9088" w:space="0"/>
            <w:col w:w="9048" w:space="0"/>
            <w:col w:w="9048" w:space="0"/>
            <w:col w:w="9048" w:space="0"/>
            <w:col w:w="9048" w:space="0"/>
            <w:col w:w="9048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9048" w:space="0"/>
            <w:col w:w="9048" w:space="0"/>
            <w:col w:w="3826" w:space="0"/>
            <w:col w:w="5222" w:space="0"/>
            <w:col w:w="9048" w:space="0"/>
            <w:col w:w="9053" w:space="0"/>
            <w:col w:w="5725" w:space="0"/>
            <w:col w:w="3327" w:space="0"/>
            <w:col w:w="9053" w:space="0"/>
            <w:col w:w="9056" w:space="0"/>
            <w:col w:w="5676" w:space="0"/>
            <w:col w:w="3380" w:space="0"/>
            <w:col w:w="9056" w:space="0"/>
            <w:col w:w="4376" w:space="0"/>
            <w:col w:w="4680" w:space="0"/>
            <w:col w:w="9056" w:space="0"/>
            <w:col w:w="5721" w:space="0"/>
            <w:col w:w="3334" w:space="0"/>
            <w:col w:w="9048" w:space="0"/>
            <w:col w:w="5721" w:space="0"/>
            <w:col w:w="3326" w:space="0"/>
            <w:col w:w="9048" w:space="0"/>
            <w:col w:w="9048" w:space="0"/>
            <w:col w:w="4611" w:space="0"/>
            <w:col w:w="4436" w:space="0"/>
            <w:col w:w="9056" w:space="0"/>
            <w:col w:w="5676" w:space="0"/>
            <w:col w:w="3380" w:space="0"/>
            <w:col w:w="9056" w:space="0"/>
            <w:col w:w="9048" w:space="0"/>
            <w:col w:w="9048" w:space="0"/>
            <w:col w:w="4671" w:space="0"/>
            <w:col w:w="4376" w:space="0"/>
            <w:col w:w="9048" w:space="0"/>
            <w:col w:w="9048" w:space="0"/>
            <w:col w:w="9048" w:space="0"/>
            <w:col w:w="9048" w:space="0"/>
            <w:col w:w="9109" w:space="0"/>
            <w:col w:w="9048" w:space="0"/>
            <w:col w:w="9048" w:space="0"/>
            <w:col w:w="9048" w:space="0"/>
            <w:col w:w="9079" w:space="0"/>
            <w:col w:w="8956" w:space="0"/>
            <w:col w:w="3147" w:space="0"/>
            <w:col w:w="5808" w:space="0"/>
            <w:col w:w="8956" w:space="0"/>
            <w:col w:w="3152" w:space="0"/>
            <w:col w:w="5804" w:space="0"/>
            <w:col w:w="8956" w:space="0"/>
            <w:col w:w="2997" w:space="0"/>
            <w:col w:w="5958" w:space="0"/>
            <w:col w:w="8956" w:space="0"/>
            <w:col w:w="9048" w:space="0"/>
            <w:col w:w="9006" w:space="0"/>
            <w:col w:w="9048" w:space="0"/>
            <w:col w:w="9056" w:space="0"/>
            <w:col w:w="9042" w:space="0"/>
            <w:col w:w="9078" w:space="0"/>
            <w:col w:w="4148" w:space="0"/>
            <w:col w:w="4930" w:space="0"/>
            <w:col w:w="9078" w:space="0"/>
            <w:col w:w="9048" w:space="0"/>
            <w:col w:w="9048" w:space="0"/>
            <w:col w:w="9102" w:space="0"/>
            <w:col w:w="9048" w:space="0"/>
            <w:col w:w="9048" w:space="0"/>
            <w:col w:w="9048" w:space="0"/>
            <w:col w:w="9048" w:space="0"/>
            <w:col w:w="9048" w:space="0"/>
            <w:col w:w="9048" w:space="0"/>
            <w:col w:w="8946" w:space="0"/>
            <w:col w:w="8932" w:space="0"/>
            <w:col w:w="9048" w:space="0"/>
            <w:col w:w="9048" w:space="0"/>
            <w:col w:w="9048" w:space="0"/>
            <w:col w:w="8832" w:space="0"/>
            <w:col w:w="8976" w:space="0"/>
            <w:col w:w="10098" w:space="0"/>
          </w:cols>
          <w:docGrid w:linePitch="360"/>
        </w:sectPr>
      </w:pPr>
    </w:p>
    <w:p>
      <w:pPr>
        <w:autoSpaceDN w:val="0"/>
        <w:autoSpaceDE w:val="0"/>
        <w:widowControl/>
        <w:spacing w:line="220" w:lineRule="exact" w:before="0" w:after="634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-113030</wp:posOffset>
            </wp:positionH>
            <wp:positionV relativeFrom="page">
              <wp:posOffset>-140970</wp:posOffset>
            </wp:positionV>
            <wp:extent cx="15523210" cy="21671846"/>
            <wp:wrapNone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523210" cy="216718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673690"/>
            <wp:wrapNone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67369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autoSpaceDN w:val="0"/>
        <w:tabs>
          <w:tab w:pos="7936" w:val="left"/>
          <w:tab w:pos="8056" w:val="left"/>
          <w:tab w:pos="8096" w:val="left"/>
        </w:tabs>
        <w:autoSpaceDE w:val="0"/>
        <w:widowControl/>
        <w:spacing w:line="245" w:lineRule="auto" w:before="0" w:after="0"/>
        <w:ind w:left="7276" w:right="0" w:firstLine="0"/>
        <w:jc w:val="left"/>
      </w:pPr>
      <w:r>
        <w:tab/>
      </w:r>
      <w:r>
        <w:rPr>
          <w:w w:val="102.05642298648232"/>
          <w:rFonts w:ascii="Helvetica Neue" w:hAnsi="Helvetica Neue" w:eastAsia="Helvetica Neue"/>
          <w:b w:val="0"/>
          <w:i w:val="0"/>
          <w:color w:val="221F1F"/>
          <w:sz w:val="19"/>
        </w:rPr>
        <w:t xml:space="preserve">WWF is one of the world’s </w:t>
      </w:r>
      <w:r>
        <w:br/>
      </w:r>
      <w:r>
        <w:tab/>
      </w:r>
      <w:r>
        <w:rPr>
          <w:w w:val="102.05642298648232"/>
          <w:rFonts w:ascii="Helvetica Neue" w:hAnsi="Helvetica Neue" w:eastAsia="Helvetica Neue"/>
          <w:b w:val="0"/>
          <w:i w:val="0"/>
          <w:color w:val="221F1F"/>
          <w:sz w:val="19"/>
        </w:rPr>
        <w:t xml:space="preserve">largest and most experienced </w:t>
      </w:r>
      <w:r>
        <w:br/>
      </w:r>
      <w:r>
        <w:tab/>
      </w:r>
      <w:r>
        <w:rPr>
          <w:w w:val="102.05642298648232"/>
          <w:rFonts w:ascii="Helvetica Neue" w:hAnsi="Helvetica Neue" w:eastAsia="Helvetica Neue"/>
          <w:b w:val="0"/>
          <w:i w:val="0"/>
          <w:color w:val="221F1F"/>
          <w:sz w:val="19"/>
        </w:rPr>
        <w:t xml:space="preserve">independent conservation </w:t>
      </w:r>
      <w:r>
        <w:br/>
      </w:r>
      <w:r>
        <w:tab/>
      </w:r>
      <w:r>
        <w:rPr>
          <w:w w:val="102.05642298648232"/>
          <w:rFonts w:ascii="Helvetica Neue" w:hAnsi="Helvetica Neue" w:eastAsia="Helvetica Neue"/>
          <w:b w:val="0"/>
          <w:i w:val="0"/>
          <w:color w:val="221F1F"/>
          <w:sz w:val="19"/>
        </w:rPr>
        <w:t xml:space="preserve">organizations, with almost </w:t>
      </w:r>
      <w:r>
        <w:br/>
      </w:r>
      <w:r>
        <w:tab/>
      </w:r>
      <w:r>
        <w:rPr>
          <w:w w:val="102.05642298648232"/>
          <w:rFonts w:ascii="Helvetica Neue" w:hAnsi="Helvetica Neue" w:eastAsia="Helvetica Neue"/>
          <w:b w:val="0"/>
          <w:i w:val="0"/>
          <w:color w:val="221F1F"/>
          <w:sz w:val="19"/>
        </w:rPr>
        <w:t xml:space="preserve">5 million supporters and a </w:t>
      </w:r>
      <w:r>
        <w:br/>
      </w:r>
      <w:r>
        <w:tab/>
      </w:r>
      <w:r>
        <w:rPr>
          <w:w w:val="102.05642298648232"/>
          <w:rFonts w:ascii="Helvetica Neue" w:hAnsi="Helvetica Neue" w:eastAsia="Helvetica Neue"/>
          <w:b w:val="0"/>
          <w:i w:val="0"/>
          <w:color w:val="221F1F"/>
          <w:sz w:val="19"/>
        </w:rPr>
        <w:t xml:space="preserve">global network active in more </w:t>
      </w:r>
      <w:r>
        <w:br/>
      </w:r>
      <w:r>
        <w:rPr>
          <w:w w:val="102.05642298648232"/>
          <w:rFonts w:ascii="Helvetica Neue" w:hAnsi="Helvetica Neue" w:eastAsia="Helvetica Neue"/>
          <w:b w:val="0"/>
          <w:i w:val="0"/>
          <w:color w:val="221F1F"/>
          <w:sz w:val="19"/>
        </w:rPr>
        <w:t>than 100 countries.</w:t>
      </w:r>
    </w:p>
    <w:p>
      <w:pPr>
        <w:autoSpaceDN w:val="0"/>
        <w:tabs>
          <w:tab w:pos="7216" w:val="left"/>
          <w:tab w:pos="7296" w:val="left"/>
          <w:tab w:pos="7316" w:val="left"/>
        </w:tabs>
        <w:autoSpaceDE w:val="0"/>
        <w:widowControl/>
        <w:spacing w:line="245" w:lineRule="auto" w:before="206" w:after="0"/>
        <w:ind w:left="7076" w:right="0" w:firstLine="0"/>
        <w:jc w:val="left"/>
      </w:pPr>
      <w:r>
        <w:tab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WWF’s mission is to stop the degradation </w:t>
      </w:r>
      <w:r>
        <w:br/>
      </w:r>
      <w:r>
        <w:tab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of the planet’s natural environment and </w:t>
      </w:r>
      <w:r>
        <w:br/>
      </w:r>
      <w:r>
        <w:tab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to build a future in which humans live in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>harmony with nature, by:</w:t>
      </w:r>
    </w:p>
    <w:p>
      <w:pPr>
        <w:autoSpaceDN w:val="0"/>
        <w:tabs>
          <w:tab w:pos="5992" w:val="left"/>
          <w:tab w:pos="5994" w:val="left"/>
        </w:tabs>
        <w:autoSpaceDE w:val="0"/>
        <w:widowControl/>
        <w:spacing w:line="245" w:lineRule="auto" w:before="206" w:after="0"/>
        <w:ind w:left="5722" w:right="144" w:firstLine="0"/>
        <w:jc w:val="left"/>
      </w:pPr>
      <w:r>
        <w:rPr>
          <w:rFonts w:ascii="Helvetica Neue" w:hAnsi="Helvetica Neue" w:eastAsia="Helvetica Neue"/>
          <w:b w:val="0"/>
          <w:i w:val="0"/>
          <w:color w:val="221F1F"/>
          <w:sz w:val="19"/>
        </w:rPr>
        <w:t>-   conserving the world’s biological diversity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-   ensuring that the use of renewable natural resources is </w:t>
      </w:r>
      <w:r>
        <w:br/>
      </w:r>
      <w:r>
        <w:tab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>sustainable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-   promoting the reduction of pollution and </w:t>
      </w:r>
      <w:r>
        <w:br/>
      </w:r>
      <w:r>
        <w:tab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>wasteful consumption.</w:t>
      </w:r>
    </w:p>
    <w:p>
      <w:pPr>
        <w:autoSpaceDN w:val="0"/>
        <w:autoSpaceDE w:val="0"/>
        <w:widowControl/>
        <w:spacing w:line="245" w:lineRule="auto" w:before="202" w:after="146"/>
        <w:ind w:left="5722" w:right="2304" w:firstLine="0"/>
        <w:jc w:val="left"/>
      </w:pPr>
      <w:r>
        <w:rPr>
          <w:rFonts w:ascii="Helvetica Neue" w:hAnsi="Helvetica Neue" w:eastAsia="Helvetica Neue"/>
          <w:b/>
          <w:i w:val="0"/>
          <w:color w:val="221F1F"/>
          <w:sz w:val="20"/>
        </w:rPr>
        <w:t xml:space="preserve">Global Species Programme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 xml:space="preserve">WWF International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 xml:space="preserve">Avenue du Mont-Blanc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>1196 Gland, Switzerland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2858.0" w:type="dxa"/>
      </w:tblPr>
      <w:tblGrid>
        <w:gridCol w:w="5353"/>
        <w:gridCol w:w="5353"/>
      </w:tblGrid>
      <w:tr>
        <w:trPr>
          <w:trHeight w:hRule="exact" w:val="574"/>
        </w:trPr>
        <w:tc>
          <w:tcPr>
            <w:tcW w:type="dxa" w:w="34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5" w:lineRule="auto" w:before="60" w:after="0"/>
              <w:ind w:left="2864" w:right="0" w:firstLine="0"/>
              <w:jc w:val="left"/>
            </w:pPr>
            <w:r>
              <w:rPr>
                <w:rFonts w:ascii="Helvetica Neue" w:hAnsi="Helvetica Neue" w:eastAsia="Helvetica Neue"/>
                <w:b w:val="0"/>
                <w:i w:val="0"/>
                <w:color w:val="221F1F"/>
                <w:sz w:val="20"/>
              </w:rPr>
              <w:t xml:space="preserve">Tel : </w:t>
            </w:r>
            <w:r>
              <w:br/>
            </w:r>
            <w:r>
              <w:rPr>
                <w:rFonts w:ascii="Helvetica Neue" w:hAnsi="Helvetica Neue" w:eastAsia="Helvetica Neue"/>
                <w:b w:val="0"/>
                <w:i w:val="0"/>
                <w:color w:val="221F1F"/>
                <w:sz w:val="20"/>
              </w:rPr>
              <w:t xml:space="preserve">Fax : </w:t>
            </w:r>
          </w:p>
        </w:tc>
        <w:tc>
          <w:tcPr>
            <w:tcW w:type="dxa" w:w="30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5" w:lineRule="auto" w:before="60" w:after="0"/>
              <w:ind w:left="104" w:right="1296" w:firstLine="0"/>
              <w:jc w:val="left"/>
            </w:pPr>
            <w:r>
              <w:rPr>
                <w:rFonts w:ascii="Helvetica Neue" w:hAnsi="Helvetica Neue" w:eastAsia="Helvetica Neue"/>
                <w:b w:val="0"/>
                <w:i w:val="0"/>
                <w:color w:val="221F1F"/>
                <w:sz w:val="20"/>
              </w:rPr>
              <w:t xml:space="preserve">+41 22 364 9111 </w:t>
            </w:r>
            <w:r>
              <w:rPr>
                <w:rFonts w:ascii="Helvetica Neue" w:hAnsi="Helvetica Neue" w:eastAsia="Helvetica Neue"/>
                <w:b w:val="0"/>
                <w:i w:val="0"/>
                <w:color w:val="221F1F"/>
                <w:sz w:val="20"/>
              </w:rPr>
              <w:t>+41 22 364 0640</w:t>
            </w:r>
          </w:p>
        </w:tc>
      </w:tr>
    </w:tbl>
    <w:p>
      <w:pPr>
        <w:autoSpaceDN w:val="0"/>
        <w:autoSpaceDE w:val="0"/>
        <w:widowControl/>
        <w:spacing w:line="233" w:lineRule="auto" w:before="142" w:after="0"/>
        <w:ind w:left="0" w:right="2678" w:firstLine="0"/>
        <w:jc w:val="right"/>
      </w:pPr>
      <w:r>
        <w:rPr>
          <w:rFonts w:ascii="Helvetica Neue" w:hAnsi="Helvetica Neue" w:eastAsia="Helvetica Neue"/>
          <w:b/>
          <w:i w:val="0"/>
          <w:color w:val="221F1F"/>
          <w:sz w:val="20"/>
        </w:rPr>
        <w:t>www.panda.org/species</w:t>
      </w:r>
    </w:p>
    <w:p>
      <w:pPr>
        <w:autoSpaceDN w:val="0"/>
        <w:autoSpaceDE w:val="0"/>
        <w:widowControl/>
        <w:spacing w:line="245" w:lineRule="auto" w:before="1498" w:after="0"/>
        <w:ind w:left="0" w:right="4464" w:firstLine="0"/>
        <w:jc w:val="left"/>
      </w:pPr>
      <w:r>
        <w:rPr>
          <w:rFonts w:ascii="Helvetica Neue" w:hAnsi="Helvetica Neue" w:eastAsia="Helvetica Neue"/>
          <w:b w:val="0"/>
          <w:i w:val="0"/>
          <w:color w:val="221F1F"/>
          <w:sz w:val="20"/>
        </w:rPr>
        <w:t xml:space="preserve">TRAFFIC, the wildlife trade monitoring network, works to ensure that </w:t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 xml:space="preserve">trade in wild plants and animals is not a threat to the conservation </w:t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 xml:space="preserve">of nature.  It has offices covering most parts of the world and is a </w:t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 xml:space="preserve">joint programme of WWF and IUCN – the International Union for </w:t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>Conservation of Nature</w:t>
      </w:r>
    </w:p>
    <w:p>
      <w:pPr>
        <w:autoSpaceDN w:val="0"/>
        <w:autoSpaceDE w:val="0"/>
        <w:widowControl/>
        <w:spacing w:line="245" w:lineRule="auto" w:before="202" w:after="146"/>
        <w:ind w:left="0" w:right="8496" w:firstLine="0"/>
        <w:jc w:val="left"/>
      </w:pPr>
      <w:r>
        <w:rPr>
          <w:rFonts w:ascii="Helvetica Neue" w:hAnsi="Helvetica Neue" w:eastAsia="Helvetica Neue"/>
          <w:b/>
          <w:i w:val="0"/>
          <w:color w:val="221F1F"/>
          <w:sz w:val="20"/>
        </w:rPr>
        <w:t xml:space="preserve">TRAFFIC International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 xml:space="preserve">219a Huntingdon Road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 xml:space="preserve">Cambridge CB3 0DL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20"/>
        </w:rPr>
        <w:t>UK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5353"/>
        <w:gridCol w:w="5353"/>
      </w:tblGrid>
      <w:tr>
        <w:trPr>
          <w:trHeight w:hRule="exact" w:val="574"/>
        </w:trPr>
        <w:tc>
          <w:tcPr>
            <w:tcW w:type="dxa" w:w="53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0" w:lineRule="auto" w:before="60" w:after="0"/>
              <w:ind w:left="0" w:right="0" w:firstLine="0"/>
              <w:jc w:val="left"/>
            </w:pPr>
            <w:r>
              <w:rPr>
                <w:rFonts w:ascii="Helvetica Neue" w:hAnsi="Helvetica Neue" w:eastAsia="Helvetica Neue"/>
                <w:b w:val="0"/>
                <w:i w:val="0"/>
                <w:color w:val="221F1F"/>
                <w:sz w:val="20"/>
              </w:rPr>
              <w:t xml:space="preserve">tel. </w:t>
            </w:r>
          </w:p>
          <w:p>
            <w:pPr>
              <w:autoSpaceDN w:val="0"/>
              <w:autoSpaceDE w:val="0"/>
              <w:widowControl/>
              <w:spacing w:line="230" w:lineRule="auto" w:before="0" w:after="0"/>
              <w:ind w:left="0" w:right="0" w:firstLine="0"/>
              <w:jc w:val="left"/>
            </w:pPr>
            <w:r>
              <w:rPr>
                <w:rFonts w:ascii="Helvetica Neue" w:hAnsi="Helvetica Neue" w:eastAsia="Helvetica Neue"/>
                <w:b w:val="0"/>
                <w:i w:val="0"/>
                <w:color w:val="221F1F"/>
                <w:sz w:val="20"/>
              </w:rPr>
              <w:t xml:space="preserve">fax. </w:t>
            </w:r>
          </w:p>
        </w:tc>
        <w:tc>
          <w:tcPr>
            <w:tcW w:type="dxa" w:w="59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5" w:lineRule="auto" w:before="60" w:after="0"/>
              <w:ind w:left="182" w:right="4176" w:firstLine="0"/>
              <w:jc w:val="left"/>
            </w:pPr>
            <w:r>
              <w:rPr>
                <w:rFonts w:ascii="Helvetica Neue" w:hAnsi="Helvetica Neue" w:eastAsia="Helvetica Neue"/>
                <w:b w:val="0"/>
                <w:i w:val="0"/>
                <w:color w:val="221F1F"/>
                <w:sz w:val="20"/>
              </w:rPr>
              <w:t xml:space="preserve">+44 1223 277427 </w:t>
            </w:r>
            <w:r>
              <w:br/>
            </w:r>
            <w:r>
              <w:rPr>
                <w:rFonts w:ascii="Helvetica Neue" w:hAnsi="Helvetica Neue" w:eastAsia="Helvetica Neue"/>
                <w:b w:val="0"/>
                <w:i w:val="0"/>
                <w:color w:val="221F1F"/>
                <w:sz w:val="20"/>
              </w:rPr>
              <w:t>+44 1223 277237</w:t>
            </w:r>
          </w:p>
        </w:tc>
      </w:tr>
    </w:tbl>
    <w:p>
      <w:pPr>
        <w:autoSpaceDN w:val="0"/>
        <w:autoSpaceDE w:val="0"/>
        <w:widowControl/>
        <w:spacing w:line="233" w:lineRule="auto" w:before="142" w:after="0"/>
        <w:ind w:left="0" w:right="0" w:firstLine="0"/>
        <w:jc w:val="left"/>
      </w:pPr>
      <w:r>
        <w:rPr>
          <w:rFonts w:ascii="Helvetica Neue" w:hAnsi="Helvetica Neue" w:eastAsia="Helvetica Neue"/>
          <w:b/>
          <w:i w:val="0"/>
          <w:color w:val="221F1F"/>
          <w:sz w:val="20"/>
        </w:rPr>
        <w:t>www.traffic.org</w:t>
      </w:r>
    </w:p>
    <w:p>
      <w:pPr>
        <w:autoSpaceDN w:val="0"/>
        <w:autoSpaceDE w:val="0"/>
        <w:widowControl/>
        <w:spacing w:line="245" w:lineRule="auto" w:before="426" w:after="0"/>
        <w:ind w:left="0" w:right="8496" w:firstLine="0"/>
        <w:jc w:val="left"/>
      </w:pP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This document has been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financed by the Swedish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International Development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>Agency, Sida.</w:t>
      </w:r>
    </w:p>
    <w:p>
      <w:pPr>
        <w:autoSpaceDN w:val="0"/>
        <w:autoSpaceDE w:val="0"/>
        <w:widowControl/>
        <w:spacing w:line="245" w:lineRule="auto" w:before="206" w:after="0"/>
        <w:ind w:left="0" w:right="7776" w:firstLine="0"/>
        <w:jc w:val="left"/>
      </w:pP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Sida does not necessarily share the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views expressed in this material.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 xml:space="preserve">Responsibility for its contents rests </w:t>
      </w:r>
      <w:r>
        <w:br/>
      </w:r>
      <w:r>
        <w:rPr>
          <w:rFonts w:ascii="Helvetica Neue" w:hAnsi="Helvetica Neue" w:eastAsia="Helvetica Neue"/>
          <w:b w:val="0"/>
          <w:i w:val="0"/>
          <w:color w:val="221F1F"/>
          <w:sz w:val="19"/>
        </w:rPr>
        <w:t>entirely with its author.</w:t>
      </w:r>
    </w:p>
    <w:sectPr w:rsidR="00FC693F" w:rsidRPr="0006063C" w:rsidSect="00034616">
      <w:pgSz w:w="12028" w:h="16791"/>
      <w:pgMar w:top="852" w:right="700" w:bottom="840" w:left="622" w:header="720" w:footer="720" w:gutter="0"/>
      <w:cols w:space="720" w:num="1" w:equalWidth="0">
        <w:col w:w="10706" w:space="0"/>
        <w:col w:w="9046" w:space="0"/>
        <w:col w:w="9048" w:space="0"/>
        <w:col w:w="9099" w:space="0"/>
        <w:col w:w="9046" w:space="0"/>
        <w:col w:w="9048" w:space="0"/>
        <w:col w:w="9046" w:space="0"/>
        <w:col w:w="9046" w:space="0"/>
        <w:col w:w="9046" w:space="0"/>
        <w:col w:w="9048" w:space="0"/>
        <w:col w:w="9048" w:space="0"/>
        <w:col w:w="9048" w:space="0"/>
        <w:col w:w="9048" w:space="0"/>
        <w:col w:w="5181" w:space="0"/>
        <w:col w:w="3866" w:space="0"/>
        <w:col w:w="9048" w:space="0"/>
        <w:col w:w="5181" w:space="0"/>
        <w:col w:w="3866" w:space="0"/>
        <w:col w:w="9048" w:space="0"/>
        <w:col w:w="9048" w:space="0"/>
        <w:col w:w="9048" w:space="0"/>
        <w:col w:w="9048" w:space="0"/>
        <w:col w:w="9048" w:space="0"/>
        <w:col w:w="9048" w:space="0"/>
        <w:col w:w="9048" w:space="0"/>
        <w:col w:w="9048" w:space="0"/>
        <w:col w:w="9048" w:space="0"/>
        <w:col w:w="9048" w:space="0"/>
        <w:col w:w="9048" w:space="0"/>
        <w:col w:w="3380" w:space="0"/>
        <w:col w:w="5668" w:space="0"/>
        <w:col w:w="9048" w:space="0"/>
        <w:col w:w="9048" w:space="0"/>
        <w:col w:w="9048" w:space="0"/>
        <w:col w:w="3350" w:space="0"/>
        <w:col w:w="5698" w:space="0"/>
        <w:col w:w="9048" w:space="0"/>
        <w:col w:w="9048" w:space="0"/>
        <w:col w:w="9048" w:space="0"/>
        <w:col w:w="9048" w:space="0"/>
        <w:col w:w="9048" w:space="0"/>
        <w:col w:w="9048" w:space="0"/>
        <w:col w:w="9048" w:space="0"/>
        <w:col w:w="9048" w:space="0"/>
        <w:col w:w="9048" w:space="0"/>
        <w:col w:w="8958" w:space="0"/>
        <w:col w:w="9078" w:space="0"/>
        <w:col w:w="9048" w:space="0"/>
        <w:col w:w="5180" w:space="0"/>
        <w:col w:w="3868" w:space="0"/>
        <w:col w:w="9048" w:space="0"/>
        <w:col w:w="4016" w:space="0"/>
        <w:col w:w="5032" w:space="0"/>
        <w:col w:w="9048" w:space="0"/>
        <w:col w:w="5181" w:space="0"/>
        <w:col w:w="3866" w:space="0"/>
        <w:col w:w="9048" w:space="0"/>
        <w:col w:w="5181" w:space="0"/>
        <w:col w:w="3866" w:space="0"/>
        <w:col w:w="9048" w:space="0"/>
        <w:col w:w="9048" w:space="0"/>
        <w:col w:w="8978" w:space="0"/>
        <w:col w:w="4606" w:space="0"/>
        <w:col w:w="4372" w:space="0"/>
        <w:col w:w="8978" w:space="0"/>
        <w:col w:w="9048" w:space="0"/>
        <w:col w:w="5721" w:space="0"/>
        <w:col w:w="3326" w:space="0"/>
        <w:col w:w="9048" w:space="0"/>
        <w:col w:w="9048" w:space="0"/>
        <w:col w:w="9048" w:space="0"/>
        <w:col w:w="8958" w:space="0"/>
        <w:col w:w="9048" w:space="0"/>
        <w:col w:w="9048" w:space="0"/>
        <w:col w:w="8958" w:space="0"/>
        <w:col w:w="9048" w:space="0"/>
        <w:col w:w="9048" w:space="0"/>
        <w:col w:w="9048" w:space="0"/>
        <w:col w:w="9088" w:space="0"/>
        <w:col w:w="9048" w:space="0"/>
        <w:col w:w="9048" w:space="0"/>
        <w:col w:w="9048" w:space="0"/>
        <w:col w:w="9048" w:space="0"/>
        <w:col w:w="9048" w:space="0"/>
        <w:col w:w="9056" w:space="0"/>
        <w:col w:w="5676" w:space="0"/>
        <w:col w:w="3380" w:space="0"/>
        <w:col w:w="9056" w:space="0"/>
        <w:col w:w="9048" w:space="0"/>
        <w:col w:w="9048" w:space="0"/>
        <w:col w:w="9048" w:space="0"/>
        <w:col w:w="9048" w:space="0"/>
        <w:col w:w="3826" w:space="0"/>
        <w:col w:w="5222" w:space="0"/>
        <w:col w:w="9048" w:space="0"/>
        <w:col w:w="9053" w:space="0"/>
        <w:col w:w="5725" w:space="0"/>
        <w:col w:w="3327" w:space="0"/>
        <w:col w:w="9053" w:space="0"/>
        <w:col w:w="9056" w:space="0"/>
        <w:col w:w="5676" w:space="0"/>
        <w:col w:w="3380" w:space="0"/>
        <w:col w:w="9056" w:space="0"/>
        <w:col w:w="4376" w:space="0"/>
        <w:col w:w="4680" w:space="0"/>
        <w:col w:w="9056" w:space="0"/>
        <w:col w:w="5721" w:space="0"/>
        <w:col w:w="3334" w:space="0"/>
        <w:col w:w="9048" w:space="0"/>
        <w:col w:w="5721" w:space="0"/>
        <w:col w:w="3326" w:space="0"/>
        <w:col w:w="9048" w:space="0"/>
        <w:col w:w="9048" w:space="0"/>
        <w:col w:w="4611" w:space="0"/>
        <w:col w:w="4436" w:space="0"/>
        <w:col w:w="9056" w:space="0"/>
        <w:col w:w="5676" w:space="0"/>
        <w:col w:w="3380" w:space="0"/>
        <w:col w:w="9056" w:space="0"/>
        <w:col w:w="9048" w:space="0"/>
        <w:col w:w="9048" w:space="0"/>
        <w:col w:w="4671" w:space="0"/>
        <w:col w:w="4376" w:space="0"/>
        <w:col w:w="9048" w:space="0"/>
        <w:col w:w="9048" w:space="0"/>
        <w:col w:w="9048" w:space="0"/>
        <w:col w:w="9048" w:space="0"/>
        <w:col w:w="9109" w:space="0"/>
        <w:col w:w="9048" w:space="0"/>
        <w:col w:w="9048" w:space="0"/>
        <w:col w:w="9048" w:space="0"/>
        <w:col w:w="9079" w:space="0"/>
        <w:col w:w="8956" w:space="0"/>
        <w:col w:w="3147" w:space="0"/>
        <w:col w:w="5808" w:space="0"/>
        <w:col w:w="8956" w:space="0"/>
        <w:col w:w="3152" w:space="0"/>
        <w:col w:w="5804" w:space="0"/>
        <w:col w:w="8956" w:space="0"/>
        <w:col w:w="2997" w:space="0"/>
        <w:col w:w="5958" w:space="0"/>
        <w:col w:w="8956" w:space="0"/>
        <w:col w:w="9048" w:space="0"/>
        <w:col w:w="9006" w:space="0"/>
        <w:col w:w="9048" w:space="0"/>
        <w:col w:w="9056" w:space="0"/>
        <w:col w:w="9042" w:space="0"/>
        <w:col w:w="9078" w:space="0"/>
        <w:col w:w="4148" w:space="0"/>
        <w:col w:w="4930" w:space="0"/>
        <w:col w:w="9078" w:space="0"/>
        <w:col w:w="9048" w:space="0"/>
        <w:col w:w="9048" w:space="0"/>
        <w:col w:w="9102" w:space="0"/>
        <w:col w:w="9048" w:space="0"/>
        <w:col w:w="9048" w:space="0"/>
        <w:col w:w="9048" w:space="0"/>
        <w:col w:w="9048" w:space="0"/>
        <w:col w:w="9048" w:space="0"/>
        <w:col w:w="9048" w:space="0"/>
        <w:col w:w="8946" w:space="0"/>
        <w:col w:w="8932" w:space="0"/>
        <w:col w:w="9048" w:space="0"/>
        <w:col w:w="9048" w:space="0"/>
        <w:col w:w="9048" w:space="0"/>
        <w:col w:w="8832" w:space="0"/>
        <w:col w:w="8976" w:space="0"/>
        <w:col w:w="10098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